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C/10816/2016 vom 13. Oktober 2017</w:t>
      </w:r>
    </w:p>
    <w:p>
      <w:r>
        <w:t>GE Cour de justice, 2017-10-13, FR</w:t>
      </w:r>
    </w:p>
    <w:p>
      <w:r>
        <w:rPr>
          <w:b/>
        </w:rPr>
        <w:t xml:space="preserve">Quelle: </w:t>
      </w:r>
      <w:r>
        <w:t>https://mcp.opencaselaw.ch/entscheid/ge_gerichte_C_10816_2016</w:t>
      </w:r>
    </w:p>
    <w:p>
      <w:r>
        <w:t>FR: GE_GERICHTE C/10816/2016 du 13 octobre 2017</w:t>
      </w:r>
    </w:p>
    <w:p>
      <w:r>
        <w:t>IT: GE_GERICHTE C/10816/2016 del 13 ottobre 2017</w:t>
      </w:r>
    </w:p>
    <w:p>
      <w:pPr>
        <w:pStyle w:val="Heading2"/>
      </w:pPr>
      <w:r>
        <w:t>Regeste</w:t>
      </w:r>
    </w:p>
    <w:p>
      <w:r>
        <w:t>DROIT DE GARDE ; EFFET SUSPENSIF ; ENFANT | CPC.315; CPC.315;</w:t>
      </w:r>
    </w:p>
    <w:p>
      <w:pPr>
        <w:pStyle w:val="Heading2"/>
      </w:pPr>
      <w:r>
        <w:t>Erwägungen</w:t>
      </w:r>
    </w:p>
    <w:p>
      <w:r>
        <w:rPr>
          <w:b/>
        </w:rPr>
        <w:t>E. 3</w:t>
      </w:r>
    </w:p>
    <w:p>
      <w:r>
        <w:t>octobre 2014 consid. 3.2.2; 5A_556/2013 du 7 octobre 2013 consid. 3.2.2; 5A_780/2012 du 8 novembre 2012 consid. 3.3.2); Qu'en l'espèce, il y a lieu d'accorder l'effet suspensif à l'appel jusqu'à droit jugé au fond sur le principe de la garde alternée, laquelle paraît prématurée à ce stade; Qu'en effet, il y a encore trop d'incertitudes au sujet de l'état psychologique actuel de l'intimé, qui paraît devoir encore consolider ses acquis sur ce plan par une thérapie personnelle afin de garantir à ses enfants la stabilité et la sécurité auxquelles ils ont droit; Que dès lors, et dans l'intervalle, il paraît opportun de préserver ces enfants de changements successifs à court terme de leur lieu de vie, tant que la décision au fond sur une garde alternée ne sera pas définitive; Qu'il faut toutefois relever qu'en l'état, ces enfants voient déjà plus souvent leur père que dans les strict cadre d'un droit de visite, lors d'activités extrascolaires, qui sont autant d'occasion d'échanges positifs entre eux à préserver absolument; Que, vu l'ensemble de ce qui précède, la présente requête d'effet suspensif sera admise, en tant qu'elle porte sur le ch. 2 du dispositif du jugement entrepris; Qu'il sera statué sur les frais et dépens de l'incident avec la décision au fond (art. 104 al. 3 CPC). * * * * * PAR CES MOTIFS, La Chambre civile : Statuant sur requête de suspension partielle du caractère exécutoire du dispositif du jugement JTPI/10270/2017 entrepris : Admet la requête formée par A______ tendant à la suspension du caractère exécutoire du ch. 2 du dispositif du jugement JTPI/10270/2017 prononcé le 17 août 2017 par le Tribunal de première instance dans la cause C/10816/2016-1. Ordonne cet effet suspensif partiel, s'agissant du ch. 2 du dispositif du jugement entrepris. Dit qu'il sera statué sur les frais liés à la présente décision dans l'arrêt rendu sur le fond. Siégeant : Madame Valérie LAEMMEL-JUILLARD, présidente; Madame Audrey MARASCO, greffière. La présidente : Valérie LAEMMEL-JUILLARD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