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C/10780/2021 vom 14. Juli 2021</w:t>
      </w:r>
    </w:p>
    <w:p>
      <w:r>
        <w:t>GE Cour de justice, 2021-07-14, FR</w:t>
      </w:r>
    </w:p>
    <w:p>
      <w:r>
        <w:rPr>
          <w:b/>
        </w:rPr>
        <w:t xml:space="preserve">Quelle: </w:t>
      </w:r>
      <w:r>
        <w:t>https://mcp.opencaselaw.ch/entscheid/ge_gerichte_C_10780_2021</w:t>
      </w:r>
    </w:p>
    <w:p>
      <w:r>
        <w:t>FR: GE_GERICHTE C/10780/2021 du 14 juillet 2021</w:t>
      </w:r>
    </w:p>
    <w:p>
      <w:r>
        <w:t>IT: GE_GERICHTE C/10780/2021 del 14 luglio 2021</w:t>
      </w:r>
    </w:p>
    <w:p>
      <w:pPr>
        <w:pStyle w:val="Heading2"/>
      </w:pPr>
      <w:r>
        <w:t>Regeste</w:t>
      </w:r>
    </w:p>
    <w:p>
      <w:r>
        <w:t>LP.271.al1.ch4; LP.272</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 Déposé selon la forme et le délai prescrits, le recours est recevable.</w:t>
      </w:r>
    </w:p>
    <w:p>
      <w:r>
        <w:rPr>
          <w:b/>
        </w:rPr>
        <w:t>E. 1.3</w:t>
      </w:r>
    </w:p>
    <w:p>
      <w:r>
        <w:t>Le recours est recevable pour violation du droit et pour constatation manifestement inexacte des faits (art. 320 CPC). L'autorité de recours a un plein pouvoir d'examen en droit, mais un pouvoir limité à l'arbitraire en fait.</w:t>
      </w:r>
    </w:p>
    <w:p>
      <w:r>
        <w:rPr>
          <w:b/>
        </w:rPr>
        <w:t>E. 1.4</w:t>
      </w:r>
    </w:p>
    <w:p>
      <w:r>
        <w:t>La procédure de séquestre est soumise dans toutes ses phases à la maxime de disposition et à la maxime des débats (art. 58 al. 2 CPC; art. 255 CPC a contrario ).</w:t>
      </w:r>
    </w:p>
    <w:p>
      <w:r>
        <w:rPr>
          <w:b/>
        </w:rPr>
        <w:t>E. 1.5</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ou C______ à présenter leurs observations, ce qui ne constitue pas une violation de leur droit d'être entendus (ATF 107 III 29 consid. 2 et 3; arrêt du Tribunal fédéral 5A_344/2010 du 8 juin 2010 consid. 5, in RSPC 2010 p. 400, et 5A_279/2010 du 24 juin 2010 consid. 4).</w:t>
      </w:r>
    </w:p>
    <w:p>
      <w:r>
        <w:rPr>
          <w:b/>
        </w:rPr>
        <w:t>E. 2</w:t>
      </w:r>
    </w:p>
    <w:p>
      <w:r>
        <w:t>Le recourant invoque une constatation manifestement inexacte des faits par le Tribunal. Il soutient à cet égard que le Tribunal n'a pas tenu compte de plusieurs faits dont il dresse une liste et il expose que c'est manifestement à tort qu'ils n'ont pas été retenus dans la mesure où ils établissent la commission d'un acte illicite par B______ et C______.</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arrêt du Tribunal fédéral). La partie qui entend attaquer les faits constatés par l'autorité précédente doit expliquer clairement et de manière circonstanciée en quoi ils l'ont été de manière manifestement inexacte (ATF 140 III 16 consid. 1.3.1 et les références).</w:t>
      </w:r>
    </w:p>
    <w:p>
      <w:r>
        <w:rPr>
          <w:b/>
        </w:rPr>
        <w:t>E. 2.2</w:t>
      </w:r>
    </w:p>
    <w:p>
      <w:r>
        <w:t>En l'espèce, le recourant se limite à affirmer que le Tribunal aurait dû constater divers faits, sans toutefois tenter de démontrer en quoi l'absence de constatation desdits faits serait arbitraire. En outre, il ressort, en particulier, des éléments dont l'appelant soutient qu'ils auraient dû être pris en compte par le Tribunal que B______ et C______ auraient gravement lésé ses intérêts en procédant à l'échange d'obligations devant arriver à échéance quelques mois plus tard contre des actions d'une société qui venait tout juste d'être cotée sur le marché secondaire et douze fois moins capitalisée. Or, l'ordonnance du Tribunal fait mention de cet échange, de sorte que cet élément a été dûment pris en compte par le Tribunal. Le grief de constatation manifestement inexacte des faits sera donc rejeté.</w:t>
      </w:r>
    </w:p>
    <w:p>
      <w:r>
        <w:rPr>
          <w:b/>
        </w:rPr>
        <w:t>E. 3</w:t>
      </w:r>
    </w:p>
    <w:p>
      <w:r>
        <w:t>Le recourant soutient que B______ et C______ ont commis un acte illicite à son encontre, à savoir une infraction de gestion déloyale, en échangeant des obligations contre des actions, ce dont il aurait dû être averti. Ils avaient procédé à des actes de disposition sur sa fortune qui sortaient du périmètre du mandat confié et comportaient des risques accrus et leurs agissements lui avaient causé un dommage.</w:t>
      </w:r>
    </w:p>
    <w:p>
      <w:r>
        <w:rPr>
          <w:b/>
        </w:rPr>
        <w:t>E. 3.1.1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3.1.2</w:t>
      </w:r>
    </w:p>
    <w:p>
      <w:r>
        <w:t>Comme cas de séquestre, l'art. 271 al. 1 ch. 4 LP prévoit que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rPr>
          <w:b/>
        </w:rPr>
        <w:t>E. 3.1.3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6B_230/2020 du 8 juin 2020 consid. 3.2.1; 6B_1074/2019 du 14 novembre 2019 consid. 4.1).</w:t>
      </w:r>
    </w:p>
    <w:p>
      <w:r>
        <w:rPr>
          <w:b/>
        </w:rPr>
        <w:t>E. 3.1.4</w:t>
      </w:r>
    </w:p>
    <w:p>
      <w:r>
        <w:t>Dans le contrat de gestion de fortune, le client charge le gérant de gérer tout ou partie de sa fortune en déterminant lui-même les opérations boursières à effectuer, dans les limites fixées par le contrat (ATF 144 III 155 consid. 2.1.1 p. 156; arrêts 4A_54/2017 du 29 janvier 2018 consid. 5.1.2; 4A_41/2016 du 20 juin 2016 consid. 3.1). Le contrat de gestion de fortune est un mandat au sens des art. 394 ss CO, au moins en ce qui concerne les devoirs et la responsabilité du gérant (ATF 132 III 460 consid. 4.1 p. 464;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(arrêts du Tribunal fédéral 4A_90/2011 du 22 juin 2011 consid. 2.2.2; 4A_588/2011 du 3 mai 2012 consid. 2.2.2), à savoir (1) une violation des obligations qui lui incombent en vertu du contrat, notamment la violation de ses obligations de diligence et de fidélité (art. 398 al. 2 CO; ATF 134 III 534 consid. 3.2.2 p. 537; 127 III 357 consid. 1 p. 359), (2) un dommage, (3) un rapport de causalité (naturelle et adéquate) entre la violation du contrat et le dommage et (4) une faute.</w:t>
      </w:r>
    </w:p>
    <w:p>
      <w:r>
        <w:rPr>
          <w:b/>
        </w:rPr>
        <w:t>E. 3.2</w:t>
      </w:r>
    </w:p>
    <w:p>
      <w:r>
        <w:t>En l'espèce, le recourant relève à juste titre que les simples dénégations de B______ ou C______ quant à une éventuelle mauvaise gestion de leur part des avoirs détenus par le recourant ne sont pas suffisantes pour considérer que ce dernier n'a pas rendu vraisemblable l'existence d'une créance. Cela étant, la question de savoir si l'opération litigieuse, consistant en l'échange d'obligations contre des actions, était risquée et constitutive de gestion déloyale au sens de l'art. 158 CP présente une complexité indéniable. L'affirmation du recourant selon laquelle aucun gestionnaire de fortune prudent n'aurait accepté d'échanger des obligations d'une société contre des actions d'une société douze fois moins capitalisée ou que c'était pure folie que d'acquérir ces actions et qu'il était quasi prévisible que l'opération allait droit à la catastrophe ne permet pas encore de rendre suffisamment vraisemblable la commission d'une telle infraction, ni que le recourant dispose d'une créance à l'encontre des deux gérants de fortune. La nature et les caractéristiques exactes des placements litigieux et des titres concernés ne peuvent être appréciées au vu des seuls éléments allégués et il ne peut dès lors être déterminé de manière suffisamment vraisemblable si les deux gérants ont violé les obligations qui leur incombaient. Le simple fait que les titres échangés aient perdu toute valeur ne permet pas davantage de rendre vraisemblable que cet échange a été effectué en violation des obligations des gérants. Au vu de ce qui précède, l'existence d'une créance du recourant à l'égard de B______ ou de C______ n'a pas été rendue vraisemblable. Les conditions pour le prononcé du séquestre ne sont donc pas remplies. Le recours est infondé et il sera rejeté.</w:t>
      </w:r>
    </w:p>
    <w:p>
      <w:r>
        <w:rPr>
          <w:b/>
        </w:rPr>
        <w:t>E. 4</w:t>
      </w:r>
    </w:p>
    <w:p>
      <w:r>
        <w:t>Le recourant, qui succombe, sera condamné aux frais judicaires (art. 106 al. 1 CPC), arrêtés à 2'250 fr. (art. 48 et 61 OELP) et compensés avec l'avance fournie, qui reste acquise à l'Etat de Genève (art. 111 al. 1 CPC). * * * * * PAR CES MOTIFS, La Chambre civile : A la forme : Déclare recevable le recours interjeté par A______ contre l'ordonnance SQ/434/2021 rendue le 9 juin 2021 par le Tribunal de première instance dans la cause C/10780/2021-24 SQP. Au fond : Rejette ce recours. Déboute A______ de toute autre conclusion. Sur les frais : Arrête les frais judicaires de recours à 2'250 fr., les met à la charge de A______ et les compense avec l'avance fournie, qui reste acquise à l'Etat de Genève. Siégeant : Monsieur Laurent RIEBEN, président; Madame Paola CAMPOMAGNANI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