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C/10636/2022 vom 20. November 2025</w:t>
      </w:r>
    </w:p>
    <w:p>
      <w:r>
        <w:t>GE Cour de justice, 2025-11-20, FR</w:t>
      </w:r>
    </w:p>
    <w:p>
      <w:r>
        <w:rPr>
          <w:b/>
        </w:rPr>
        <w:t xml:space="preserve">Quelle: </w:t>
      </w:r>
      <w:r>
        <w:t>https://mcp.opencaselaw.ch/entscheid/ge_gerichte_C_10636_2022</w:t>
      </w:r>
    </w:p>
    <w:p>
      <w:r>
        <w:t>FR: GE_GERICHTE C/10636/2022 du 20 novembre 2025</w:t>
      </w:r>
    </w:p>
    <w:p>
      <w:r>
        <w:t>IT: GE_GERICHTE C/10636/2022 del 20 novembre 2025</w:t>
      </w:r>
    </w:p>
    <w:p>
      <w:pPr>
        <w:pStyle w:val="Heading2"/>
      </w:pPr>
      <w:r>
        <w:t>Regeste</w:t>
      </w:r>
    </w:p>
    <w:p>
      <w:r>
        <w:t>CO.260; CO.270; CPC.126</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En l'espèce, compte tenu du montant annuel du loyer initial fixé dans le contrat de bail (29'700 fr.) et celui requis par l'appelante (20'907 fr.), ainsi que des conclusions en restitution d'un trop perçu de loyer, la valeur litigieuse est supérieure à 10'000 fr. La voie de l'appel est ainsi ouverte.</w:t>
      </w:r>
    </w:p>
    <w:p>
      <w:r>
        <w:rPr>
          <w:b/>
        </w:rPr>
        <w:t>E. 1.3</w:t>
      </w:r>
    </w:p>
    <w:p>
      <w:r>
        <w:t>Interjeté dans le délai utile de trente jour (art. 142 al. 1, 145 al. 1 let. c et 311 al. 1 CPC), selon la forme prescrite par la loi (art. 130, 131, 311 al. 1 CPC) et auprès de l'autorité compétente (art. 122 let. a LOJ), l'appel est recevable.</w:t>
      </w:r>
    </w:p>
    <w:p>
      <w:r>
        <w:rPr>
          <w:b/>
        </w:rPr>
        <w:t>E. 1.4</w:t>
      </w:r>
    </w:p>
    <w:p>
      <w:r>
        <w:t>L'appel peut être formé pour violation du droit (art. 310 let. a CPC) et constatation inexacte des faits (art. 310 let. b CPC). L'instance d'appel dispose ainsi d'un plein pouvoir d'examen de la cause en fait et en droit, mais uniquement dans la limite des griefs suffisamment motivés qui sont formulés (ATF 142 III 413 consid. 2.2.4).</w:t>
      </w:r>
    </w:p>
    <w:p>
      <w:r>
        <w:rPr>
          <w:b/>
        </w:rPr>
        <w:t>E. 2</w:t>
      </w:r>
    </w:p>
    <w:p>
      <w:r>
        <w:t>L'appelante a allégué des faits nouveaux et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w:t>
      </w:r>
    </w:p>
    <w:p>
      <w:r>
        <w:rPr>
          <w:b/>
        </w:rPr>
        <w:t>E. 2.2</w:t>
      </w:r>
    </w:p>
    <w:p>
      <w:r>
        <w:t>En l'occurrence, les pièces E, F et G sont postérieures à la date à laquelle les premiers juges ont gardé la cause à juger, soit le 12 septembre 2024, et ont été produites sans retard, de sortes qu'elles sont recevables, ainsi que les faits s'y rapportant. La pièce D est antérieure à la date susvisée. Il n'est toutefois pas contesté que l'appelante a découvert, après que la cause a été gardée à juger par les premiers juges, que l'immeuble avait été vendu en février 2024. Cette pièce et les faits y afférents, qui plus est notoires, sont ainsi recevables. La pièce H est postérieure au 12 septembre 2024. Elle a été produite par l'appelante pour répondre aux allégations des intimées contenues dans leur duplique, de sorte qu'elle est recevable, de même que les faits s'y rapportant, étant relevé que ceux-ci ne sont pas déterminants pour l'issue du litige.</w:t>
      </w:r>
    </w:p>
    <w:p>
      <w:r>
        <w:rPr>
          <w:b/>
        </w:rPr>
        <w:t>E. 3</w:t>
      </w:r>
    </w:p>
    <w:p>
      <w:r>
        <w:t>L'appelante se prévaut du fait que l'immeuble a été vendu en février 2024, sans que cette aliénation n'ait été portée à sa connaissance ni à celle du Tribunal et ce, en violation des règles de la bonne foi. Le jugement entrepris devrait, selon elle, être annulé afin de respecter le double degré d'instance à l'égard du nouvel acquéreur de l'immeuble.</w:t>
      </w:r>
    </w:p>
    <w:p>
      <w:r>
        <w:rPr>
          <w:b/>
        </w:rPr>
        <w:t>E. 3.1</w:t>
      </w:r>
    </w:p>
    <w:p>
      <w:r>
        <w:t>Selon l'art. 261 al. 1 CO, si, après la conclusion du contrat, le bailleur aliène la chose louée ou si elle lui est enlevée dans le cadre d'une poursuite pour dettes ou d'une faillite, le bail passe à l'acquéreur avec la propriété de la chose. Selon la jurisprudence, il résulte de cet article que les acquéreurs sont substitués de plein droit aux précédents bailleurs dans les procès en cours pour les droits et obligations résultant du contrat après le moment du transfert (arrêt du Tribunal fédéral 4A_251/2012 du 28 août 2012 consid. 2). L'art. 52 CPC impose à quiconque participe à la procédure de se conformer aux règles de la bonne foi.</w:t>
      </w:r>
    </w:p>
    <w:p>
      <w:r>
        <w:rPr>
          <w:b/>
        </w:rPr>
        <w:t>E. 3.2</w:t>
      </w:r>
    </w:p>
    <w:p>
      <w:r>
        <w:t>En l'espèce, l'appelante se prévaut de la nullité du loyer initial et sollicite une diminution du montant de celui-ci depuis la conclusion du contrat de bail litigieux, soit dès le 15 décembre 2010. L'intimée B______ SICAV dispose ainsi de la légitimation passive jusqu'au 27 février 2024, date à laquelle elle a vendu l'immeuble à D______, selon l'extrait de la FAO produit. Celle-ci dispose ensuite, de plein droit, de la légitimation passive et doit par conséquent être attraite à la procédure à compter de cette date. Le fait que cette vente n'ait pas été annoncée à l'appelante ni aux premiers juges en cours de procédure de première instance ne justifie pas d'annuler le jugement entrepris, étant relevé que les deux intimées sont, en appel, représentées par le même conseil. Par ailleurs, l'appelante ne se prévaut d'aucun intérêt personnel à l'annulation dudit jugement pour le motif invoqué, ce qui rend son grief irrecevable.</w:t>
      </w:r>
    </w:p>
    <w:p>
      <w:r>
        <w:rPr>
          <w:b/>
        </w:rPr>
        <w:t>E. 4</w:t>
      </w:r>
    </w:p>
    <w:p>
      <w:r>
        <w:t>L'appelante fait grief au Tribunal d'avoir considéré qu'elle invoquait la nullité du loyer initial de manière abusive.</w:t>
      </w:r>
    </w:p>
    <w:p>
      <w:r>
        <w:rPr>
          <w:b/>
        </w:rPr>
        <w:t>E. 4.1.1</w:t>
      </w:r>
    </w:p>
    <w:p>
      <w:r>
        <w:t>Aux termes de l'art. 270 al. 1 CO, lorsque le locataire estime que le montant du loyer initial est abusif au sens des art. 269 et 269a CO, il peut le contester devant l'autorité de conciliation dans les 30 jours qui suivent la réception de la chose louée. Selon l'art. 269 CO, le loyer est abusif lorsqu'il permet au bailleur d'obtenir un rendement excessif de la chose louée et, selon l'art. 269a let. a CO, il est présumé non abusif lorsqu'il se situe dans les limites des loyers usuels dans la localité ou dans le quartier. Un vice de forme lors de la notification du loyer initial, par exemple la non-utilisation de la formule officielle, n'implique pas la nullité totale du contrat de bail, mais limite cette nullité à la seule fixation du loyer (art. 20 al. 2 CO; ATF 120 II 341 consid. 5d). Cette nullité partielle, limitée au loyer, intervient de plein droit et se constate d'office; le locataire peut l'invoquer en tout temps, sous réserve de l'abus de droit (arrêt du Tribunal fédéral 4A_129/2011 du 28 avril 2011 consid. 2.2). Lorsque les parties ont fixé contractuellement un loyer supérieur à celui admis par l'administration compétente en application de la LDTR, le contrat renferme une disposition contraire à la loi et est frappé de nullité partielle en vertu de l'art. 20 CO, ce que le juge doit constater d'office ( ACJC/1311/2009 du 2 novembre 2009 consid. 3.2; Lachat, Le bail à loyer, 2019, p. 458).</w:t>
      </w:r>
    </w:p>
    <w:p>
      <w:r>
        <w:rPr>
          <w:b/>
        </w:rPr>
        <w:t>E. 4.1.2</w:t>
      </w:r>
    </w:p>
    <w:p>
      <w:r>
        <w:t>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S'agissant de la nullité du loyer initial, l'abus de droit peut entrer en considération lorsque la partie a eu conscience d'emblée du vice de forme et qu'elle s'est abstenue intentionnellement de le faire valoir sur-le-champ afin d'en tirer avantage par la suite (ATF 113 II 187 consid. 1a; 123 III 70 consid. 3c). L'abus de droit peut aussi entrer en considération lorsque le locataire, qui ne s'est aperçu qu'ultérieurement du vice de forme, a omis de protester dans un délai raisonnable; dans un tel cas, l'on peut inférer qu'il considère le loyer comme non abusif et renonce à le contester devant l'autorité, validant ainsi le montant convenu et guérissant les effets du vice de forme (ATF 137 III 547 consid. 2.3). Eu égard à la finalité protectrice des règles de forme relatives à la fixation du loyer initial (ou à la majoration de loyer), le juge doit toutefois se montrer restrictif dans son appréciation et n'admettre qu'exceptionnellement l'abus de droit (arrêt du Tribunal fédéral 4A_647/2011 du 26 janvier 2012 consid. 4.1). Le juge du fait doit vérifier, par appréciation des preuves, si le locataire demandeur peut bénéficier de la présomption d'ignorance compte tenu de l'ensemble des circonstances. Tel ne serait notamment pas le cas si le locataire avait des connaissances spécifiques en droit du bail (arrêt du Tribunal fédéral 4A_129/2011 du 28 avril 2011 consid. 2.4), s'il avait déjà loué un appartement pour lequel il avait reçu la formule officielle, ou s'il avait été impliqué dans une précédente procédure de contestation du loyer initial (ATF 148 III 63 consid. 6.2.3). La charge de la preuve des circonstances laissant supposer un abus de droit incombe à celui qui invoque l'abus de droit (ATF 138 III 425 consid 5.2; 134 III 52 consid. 2.1; arrêt du Tribunal fédéral 4A_637/2016 du 3 mars 2017 consid. 4.1).</w:t>
      </w:r>
    </w:p>
    <w:p>
      <w:r>
        <w:rPr>
          <w:b/>
        </w:rPr>
        <w:t>E. 4.2</w:t>
      </w:r>
    </w:p>
    <w:p>
      <w:r>
        <w:t>En l'espèce, les premiers juges ont considéré que l'appelante était informée de ses droits relatifs au montant du loyer bien avant le dépôt de sa requête, de sorte que celle-ci était abusive. La précitée pouvait en effet se rendre compte, dès la signature du contrat de bail litigieux, que le loyer initial était nettement supérieur au loyer acquitté par l'ancien locataire, ce qui ressortait de la formule officielle de fixation du loyer initial. L'appelante se prévaut toutefois du fait que le loyer initial serait nul pour avoir été fixé en violation des règles prescrites par la LDTR. Le fait qu'il existait une différence entre le montant de celui-ci et le loyer acquitté par l'ancien locataire n'est dès lors pas déterminant. En effet, cette différence n'est pas un élément permettant de retenir que l'appelante aurait eu connaissance desdites règles et du fonctionnement de la LDTR, à la signature du contrat de bail litigieux. Par ailleurs, il ressort de l'avis officiel de fixation du loyer initial que cette différence était justifiée par une adaptation aux loyers usuels du quartier. En application du principe de la confiance, l'appelante n'avait pas à mettre en doute ce qui précède. Ainsi, contrairement à ce qu'ont retenu les premiers juges, la teneur de la formule officielle de fixation du loyer initial ne permet pas de retenir que l'appelante aurait été informée de ses droits afférents à la nullité du loyer initial pour violation des règles de droit public. Les premiers juges ont également pris en compte les courriers de l'appelante adressés à la régie pour retenir que celle-ci connaissait ses droits de locataire. La demande de diminution de loyer de l'appelante en juillet 2017 ne permet toutefois pas de retenir qu'elle disposerait de connaissances spécifiques en droit du bail. En effet, cette demande est laconique et la diminution requise à hauteur d'au moins 20% est démesurée. En tout état, cette requête est fondée sur la baisse du taux hypothécaire et de l'ISPC, de sorte qu'elle ne suffit pas à démontrer que l'appelante aurait eu connaissance, à ce moment-là, de ce qu'un loyer supérieur à celui admis par l'autorité compétente en application de la LDTR serait nul. Il n'est pas non plus établi que cette diminution aurait été requise avec le concours de l'ASLOCA et ce, même si le courrier du 21 juillet 2017 mentionne une copie adressée à celle-ci. A cet égard, les déclarations de l'appelante en audience, selon lesquelles elle n'avait pas réellement transmis copie du courrier à l'ASLOCA, mais avait indiqué cela pour exercer "une pression", apparaissent crédibles. En effet, il est établi que l'appelante n'était pas membre de cette association en juillet 2017. En outre, même si elle avait consulté l'ASLOCA pour requérir une diminution de son loyer en raison de la baisse du taux hypothécaire et de l'ISPC, rien n'indique que la question de la nullité du loyer initial pour violation des règles de la LDTR aurait également été abordée. En effet, il est courant que les mandataires s’en tiennent à leur mandat. Les courriers de l'appelante des 18 juin 2018 et 27 février 2020, concernaient une problématique autre que le loyer, soit la prise en charge de factures pour des interventions effectuées dans l'appartement (purger des radiateurs et déboucher des canalisations). Ils ne permettent donc pas de retenir que l'appelante connaissait la LDTR et ses éventuelles conséquences sur la nullité du loyer initial. Le fait que le courrier du 27 février 2020 mentionne des articles de lois ne permet pas non plus d'établir, à satisfaction de droit, que l'appelante aurait des connaissances spécifiques en droit du bail, compte tenu des nombreux modèles de lettre-type à disposition sur internet. Pour les mêmes motifs qu'invoqués supra , le fait qu'une copie de ces courriers aurait été envoyée à l'ASLOCA n'est pas déterminant. Il s'ensuit que la teneur de l'avis officiel de fixation du loyer initial et les courriers susvisés ne suffisent pas à établir que l'appelante aurait eu la connaissance effective de ses droits afférents à la nullité du loyer avant sa consultation avec l'ASLOCA en mars 2022, étant relevé qu'elle a déposé sa demande de conciliation en juin 2022. A cela s'ajoute qu'aucun élément du dossier ne permet non plus de retenir que l'appelante aurait sciemment renoncé à faire valoir ses droits dans le but d'en tirer profit ultérieurement. Dans ces circonstances, contrairement à ce qu'ont retenu les premiers juges, la demande de l'appelante n’est pas constitutive d'un abus de droit.</w:t>
      </w:r>
    </w:p>
    <w:p>
      <w:r>
        <w:rPr>
          <w:b/>
        </w:rPr>
        <w:t>E. 5</w:t>
      </w:r>
    </w:p>
    <w:p>
      <w:r>
        <w:t>1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La suspension est notamment autorisée lorsque la décision dépend de l'issue d'une autre procédure. Dans ce sens, il faut s'accommoder d'une tension avec le principe de la célérité. Lorsque les questions de droit et de preuves à examiner dans les deux procédures sont en grande partie les mêmes, il existe une forte probabilité qu'elles soient examinées deux fois, avec un risque de décisions contradictoires.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w:t>
      </w:r>
    </w:p>
    <w:p>
      <w:r>
        <w:rPr>
          <w:b/>
        </w:rPr>
        <w:t>E. 5.2</w:t>
      </w:r>
    </w:p>
    <w:p>
      <w:r>
        <w:t>En l'espèce, les premiers juges ont refusé de suspendre la procédure, au motif que l'appelante n'avait pas démontré qu'une procédure administrative aurait été ouverte auprès du Service LDTR. Il ressort toutefois des pièces produites en appel, recevables, qu'une telle procédure est pendante devant ledit service et que celui-ci procède actuellement à un examen concernant l'éventuelle application de la LDTR en raison d’allégués travaux de rénovation entrepris avant l'entrée de l'appelante dans l'appartement. Si le Service LDTR considère que ces travaux étaient soumis à autorisation en application des dispositions de droit de public, il fixera alors rétroactivement le loyer initial litigieux, ce qui permettra de statuer sur les prétentions de l'appelante en remboursement d'un trop perçu (cf. art. 11 LDTR). Afin d'éviter une décision contradictoire, il se justifie donc de suspendre la procédure jusqu'à la décision de l'autorité administrative compétente, qui a assuré, fin 2024, qu'elle serait prise dans les meilleurs délais. Cela est d'autant plus justifié que les premiers juges ont considéré que le dossier ne contenait pas suffisamment d'éléments pour statuer sur l'éventuelle application de la LDTR. En effet, le dossier physique de la régie ne contient aucune facture concernant les travaux entrepris dans l'appartement avant l'entrée de l'appelante. Cela étant, le témoin G______ a déclaré que des factures pouvaient exister dans le dossier numérique de l'appartement, qui n'a pas été produit. En tout état, le Service LDTR a décidé d'ouvrir une instruction sur la base du procès-verbal d'état des lieux d'entrée, de sorte que les intimées ne sont pas fondées à soutenir qu'aucun élément du dossier ne permettrait de retenir une éventuelle application de la LDTR. Par ailleurs, l'appelante est toujours locataire de l'appartement et qu'il n'est pas allégué que celle-ci ne s'acquitterai pas du loyer tel que fixé contractuellement en l'état. La suspension de la procédure, requise par l'appelante, ne s'oppose donc pas aux intérêts des parties. Enfin, le fait que l'appelante ait attendu juillet 2024 pour dénoncer le cas au Service LDTR n'est pas déterminant. En effet, compte tenu de la présente procédure, ses allégations à teneur desquelles elle "espérait une solution transigée" apparaissent crédibles. Compte tenu de ce qui précède, il convient de renvoyer la cause au Tribunal, afin qu'il suspende celle-ci jusqu'à droit connu dans la procédure administrative et rende une nouvelle décision sur le fond une fois la décision administrative définitive rendue (art. 318 al. 1 let. c CPC). La partie la plus diligente sera dès lors invitée à informer le Tribunal de ladite décision.</w:t>
      </w:r>
    </w:p>
    <w:p>
      <w:r>
        <w:rPr>
          <w:b/>
        </w:rPr>
        <w:t>E. 6</w:t>
      </w:r>
    </w:p>
    <w:p>
      <w:r>
        <w:t>En définitive, le jugement entrepris sera annulé et la cause renvoyée au Tribunal pour suspension de la procédure et une nouvelle décision dans le sens des considérants.</w:t>
      </w:r>
    </w:p>
    <w:p>
      <w:r>
        <w:rPr>
          <w:b/>
        </w:rPr>
        <w:t>E. 7</w:t>
      </w:r>
    </w:p>
    <w:p>
      <w:r>
        <w:t>Il n'est pas prélevé de frais judiciaires ni alloué de dépens dans les causes soumises à la juridiction des baux et loyers (art. 22 al. 1 LaCC). * * * * * PAR CES MOTIFS, La Chambre des baux et loyers : A la forme : Déclare recevable l'appel interjeté le 31 janvier 2025 par A______ contre le jugement JTBL/1225/2024 rendu le 9 décembre 2024 par le Tribunal des baux et loyers dans la cause C/10636/2022. A titre préalable : Dit que D______ est devenue partie à la procédure. Au fond : Annule ce jugement. Renvoie la cause au Tribunal des baux et loyers pour suspension de la procédure et nouvelle décision dans le sens des considérants. Dit que la procédure est gratuite. Déboute les parties de toutes autres conclusions. Siégeant : Madame Nathalie LANDRY-BARTHE, présidente; Madame Sylvie DROIN et Monsieur Laurent RIEBEN, juges; Monsieur Jean-Philippe FERRERO et Monsieur Jean-Philippe ANTHONIOZ,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