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C/10379/2011 vom 6. Juli 2012</w:t>
      </w:r>
    </w:p>
    <w:p>
      <w:r>
        <w:t>GE Cour de justice, 2012-07-06, FR</w:t>
      </w:r>
    </w:p>
    <w:p>
      <w:r>
        <w:rPr>
          <w:b/>
        </w:rPr>
        <w:t xml:space="preserve">Quelle: </w:t>
      </w:r>
      <w:r>
        <w:t>https://mcp.opencaselaw.ch/entscheid/ge_gerichte_C_10379_2011</w:t>
      </w:r>
    </w:p>
    <w:p>
      <w:r>
        <w:t>FR: GE_GERICHTE C/10379/2011 du 6 juillet 2012</w:t>
      </w:r>
    </w:p>
    <w:p>
      <w:r>
        <w:t>IT: GE_GERICHTE C/10379/2011 del 6 luglio 2012</w:t>
      </w:r>
    </w:p>
    <w:p>
      <w:pPr>
        <w:pStyle w:val="Heading2"/>
      </w:pPr>
      <w:r>
        <w:t>Regeste</w:t>
      </w:r>
    </w:p>
    <w:p>
      <w:r>
        <w:t>PROLONGATION DU BAIL À LOYER ; MODIFICATION DE CONTRAT ; | CO.272</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contestations portant sur l'usage d'une chose louée sont de nature pécuniaire (arrêt 4C.310/1996 du 16 avril 1997, publié in SJ 1997 p. 493, consid. 1), de sorte que l'exigence de la valeur litigieuse trouve application in casu . En l’espèce, vu le loyer annuel de 7'200 fr. et attendu que la valeur litigieuse se détermine, s’agissant d’une demande de prolongation de bail, en additionnant les loyers et frais accessoires pour la durée de la prolongation encore litigieuse restant à courir (SJ 1998 p. 201), celle-ci est largement supérieure à 10'000 fr. Les autres conditions de recevabilité rappelées ci-dessus sont par ailleurs manifestement réunies. Dès lors, l’appel est recevable.</w:t>
      </w:r>
    </w:p>
    <w:p>
      <w:r>
        <w:rPr>
          <w:b/>
        </w:rPr>
        <w:t>E. 2</w:t>
      </w:r>
    </w:p>
    <w:p>
      <w:r>
        <w:t>Saisie d’un appel, la Cour de justice revoit la cause avec un pouvoir de cognition complet, c’est-à-dire tant en fait qu’en droit. Elle n’est nullement liée par l’appréciation des faits à laquelle s’est livré le juge de première instance (CPC - JEANDIN, art. 310, N. 6).</w:t>
      </w:r>
    </w:p>
    <w:p>
      <w:r>
        <w:rPr>
          <w:b/>
        </w:rPr>
        <w:t>E. 3</w:t>
      </w:r>
    </w:p>
    <w:p>
      <w:r>
        <w:t>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du 28 août 2012 consid. 2.2),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étant donné qu’elles constituent de faux nova , les pièces nouvelles produites par l’appelant, de même que les faits qu’elles sont censées étayer, sont irrecevables.</w:t>
      </w:r>
    </w:p>
    <w:p>
      <w:r>
        <w:rPr>
          <w:b/>
        </w:rPr>
        <w:t>E. 4</w:t>
      </w:r>
    </w:p>
    <w:p>
      <w:r>
        <w:t>Dans un premier moyen, l’appelant soutient que le troisième contrat de bail, à savoir celui daté du 3 août 2010, serait nul, faute d’engager l’usufruitier, soit le père des intimées. Il en résulterait que le deuxième contrat, arrivé à échéance le 1 er juin 2010, se serait depuis lors renouvelé tacitement, de sorte que les parties seraient à présent liées par un contrat de durée indéterminée. L’appelant ne prend cependant aucune conclusion à cet égard, notamment en constatation de la durée indéterminée du contrat liant les parties. Au contraire, l’appelant conclut à ce qu’une prolongation de bail de six ans lui soit octroyée, alors même que le grief susmentionné devrait le conduire à nier l’existence de la fin du contrat. Dans cette mesure, la Cour ne saurait examiner ce moyen.</w:t>
      </w:r>
    </w:p>
    <w:p>
      <w:r>
        <w:rPr>
          <w:b/>
        </w:rPr>
        <w:t>E. 5</w:t>
      </w:r>
    </w:p>
    <w:p>
      <w:r>
        <w:t>5.1. Dans un deuxième moyen, l’appelant reproche aux premiers juges d’avoir limité la prolongation de bail à un an et demi, alors même qu’il s’agirait selon lui d’un bail commercial - dont la prolongation maximale est de six ans - et que la pesée des intérêts entre les parties aurait dû les conduire à accorder une pleine prolongation. A ce titre, il soutient qu’il élève sur la parcelle litigieuse une trentaine d’animaux et stocke du mobilier destiné à la brocante. Lesdites activités lui procurent un modeste pécule, en complément de sa rente vieillesse et de son salaire pour son emploi à 50%.</w:t>
      </w:r>
    </w:p>
    <w:p>
      <w:r>
        <w:rPr>
          <w:b/>
        </w:rPr>
        <w:t>E. 5.2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ATF 131 III 606 consid. 4.1).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4C.374/2006 du 15 mars 2007). Le principe de la confiance permet d'imputer à une partie le sens objectif de sa déclaration ou de son comportement, même si celui-ci ne correspond pas à sa volonté intime (ATF 130 III 417 consid. 3.2; ATF 129 III 118 consid. 2.5; ATF 128 III 419 consid. 2.2 et les références doctrinales). En l’espèce, il ne ressort aucunement des différents contrats signés ou des échanges entre les parties, que la parcelle aurait été louée à des fins commerciales. Le fait que, par la suite, l’appelant ait mis à profit la surface de celle-ci et les couverts à sa disposition pour élever des animaux et stocker du mobilier destiné à la brocante ne saurait modifier la nature du contrat convenu, qui visait l’habitation par l’appelant de l’un des deux chalets sis sur la parcelle. C’est donc à bon droit que le Tribunal des baux et loyers a retenu que la prolongation maximale était de quatre ans (art. 272b al. 1 CO).</w:t>
      </w:r>
    </w:p>
    <w:p>
      <w:r>
        <w:rPr>
          <w:b/>
        </w:rPr>
        <w:t>E. 5.3</w:t>
      </w:r>
    </w:p>
    <w:p>
      <w:r>
        <w:t>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L’octroi d’une prolongation suppose par ailleurs,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265 -266; ATF 102 II 254 = JT 1977 I 558 ; ACJC/218/1992 du 31.08.1992 A. SA c/ SI X.). En l’espèce, l’appelant n’a pas même allégué avoir effectué des recherches de solution de relogement, se contentant d’insister sur les conséquences pénibles de la fin du bail. De leur côté les bailleresses n’apportent aucune preuve de l’urgence dans laquelle se retrouverait la troisième d’entre elles d’emménager dans le chalet occupé par l’appelant. Ce faisant l’appréciation opérée par le Tribunal des baux et loyers, s’agissant d’une unique prolongation d’un an et demi ne prête pas flanc à la critique. Il convient cependant de rectifier l’erreur dans le décompte des mois effectué par le Tribunal, lequel a retenu le 31 décembre 2012 en lieu et place du 31 janvier 2013 comme échéance de la prolongation (1 er août 2010 + 18 mois).</w:t>
      </w:r>
    </w:p>
    <w:p>
      <w:r>
        <w:rPr>
          <w:b/>
        </w:rPr>
        <w:t>E. 6</w:t>
      </w:r>
    </w:p>
    <w:p>
      <w:r>
        <w:t>Dans un dernier moyen, l’appelant rappelle qu’à compter du 1 er janvier 2011, une partie de la surface qui lui était louée a été reprise par ses parties adverses, afin d’être louée directement à son sous-locataire, et soutient à cet égard qu’il s’agit d’une modification unilatérale du contrat, laquelle est nulle faute d’avoir été notifiée sur formulaire officiel. Il relève que c’est à tort que le Tribunal lui a reproché un abus de droit et conclut à ce que la nullité de la modification du bail - portant donc sur la diminution de surface de la chose louée - soit constatée. Il ne prend cependant pas d’autre conclusion, notamment en réduction de loyer, et s’étonne même que le Tribunal des baux et loyers ait retenu, dans le jugement entrepris, qu’il en avait sollicité une. En vertu de l’art. 269d al. 3 CO, le bailleur a la faculté de modifier unilatéralement le contrat de bail, au détriment de son locataire, en notifiant à celui-ci un formulaire officiel avec un préavis de trois mois et dix jours pour une échéance contractuelle. A défaut de respect de ces exigences, la modification est nulle (art. 269d al. 1 CO). Une diminution de la surface de la chose louée constitue manifestement une modification du contrat au détriment du locataire (David LACHAT, Le bail à loyer, Lausanne 2008, p. 559; CPra Bail - MARCHAND, art. 260d CO, N. 14). En l’espèce, c’est à juste titre que l’appelant se plaint de la diminution de la chose louée, puisqu’une partie de la surface qu’il sous-louait à un tiers a été louée directement à ce même tiers par ses bailleresses. Cette modification n’ayant pas été notifiée dans les formes rappelées ci-dessus, elle est d’évidence nulle. On ne discerne par ailleurs pas en quoi l’appelant commettrait un abus de droit en soulevant cette nullité, ce d’autant moins qu’il ne prend aucune conclusion en paiement ou en réduction de loyer. Dans cette mesure, la question de savoir si la sous-location avait ou non été autorisée est sans pertinence. Le jugement entrepris doit donc être réformé sur ce point.</w:t>
      </w:r>
    </w:p>
    <w:p>
      <w:r>
        <w:rPr>
          <w:b/>
        </w:rPr>
        <w:t>E. 7</w:t>
      </w:r>
    </w:p>
    <w:p>
      <w:r>
        <w:t>La procédure est gratuite, en ce sens qu’il n’est pas perçu de frais judiciaires ou de dépens (art. 17 al. 1 LaCC; art. 95 al. 1 CPC). * * * * * PAR CES MOTIFS, La Chambre des baux et loyers : A la forme : Déclare recevable l’appel interjeté par A______ contre le jugement JTBL/661/2012 rendu le 6 juillet 2012 par le Tribunal des baux et loyers dans la cause C/10379/2011-5-B. Déclare irrecevables les faits nouveaux allégués et les pièces nouvelles produites par A______, à l’appui de son appel. Au fond : Annule ce jugement. Et statuant à nouveau : Accorde à A______ une unique prolongation de son bail d’un an et demi, échéant au 31 janvier 2013. Constate la nullité de la modification du bail consistant en la diminution de la surface de la chose louée à compter du 1 er janvier 2011, s’agissant de la partie de la parcelle q'A______ sous-louait à H______. Dit que la procédure est gratuite. Déboute les parties de toutes autres conclusions. Siégeant : Monsieur Pierre CURTIN, président; Madame Sylvie DROIN et Madame Daniela CHIABUDINI, juges; Monsieur Lucien BACHELARD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