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C/10020/2005 vom 6. November 2013</w:t>
      </w:r>
    </w:p>
    <w:p>
      <w:r>
        <w:t>GE Cour de justice, 2013-11-06, FR</w:t>
      </w:r>
    </w:p>
    <w:p>
      <w:r>
        <w:rPr>
          <w:b/>
        </w:rPr>
        <w:t xml:space="preserve">Quelle: </w:t>
      </w:r>
      <w:r>
        <w:t>https://mcp.opencaselaw.ch/entscheid/ge_gerichte_C_10020_2005</w:t>
      </w:r>
    </w:p>
    <w:p>
      <w:r>
        <w:t>FR: GE_GERICHTE C/10020/2005 du 6 novembre 2013</w:t>
      </w:r>
    </w:p>
    <w:p>
      <w:r>
        <w:t>IT: GE_GERICHTE C/10020/2005 del 6 novembre 2013</w:t>
      </w:r>
    </w:p>
    <w:p>
      <w:pPr>
        <w:pStyle w:val="Heading2"/>
      </w:pPr>
      <w:r>
        <w:t>Regeste</w:t>
      </w:r>
    </w:p>
    <w:p>
      <w:r>
        <w:t>CONTRAT DE TRAVAIL; INTERPRÉTATION(SENS GÉNÉRAL); MANDAT; RÉSILIATION IMMÉDIATE | CO.320.2; CO.337</w:t>
      </w:r>
    </w:p>
    <w:p>
      <w:pPr>
        <w:pStyle w:val="Heading2"/>
      </w:pPr>
      <w:r>
        <w:t>Erwägungen</w:t>
      </w:r>
    </w:p>
    <w:p>
      <w:r>
        <w:rPr>
          <w:b/>
        </w:rPr>
        <w:t>E. 3</w:t>
      </w:r>
    </w:p>
    <w:p>
      <w:r>
        <w:t>décembre 2004. Dans ses écritures de réponse de première instance, l'appelante s'est référée aux faits de gestion déloyale qu'elle avait dénoncés pénalement. Pour la première fois, dans son écriture d'appel, elle invoque également des poursuites intentées contre elle par l'intimée, ainsi que des démarches judiciaires. Il est constant que l'intimée a été acquittée au terme de la procédure pénale diligentée contre elle; il s'ensuit que les soupçons portés contre elle n'ont pas été établis. Peu importe à cet égard que l'appelante considère que la feuille d'envoi ou que le jugement du Tribunal de police, qui n'ont pas été remis en cause selon les voies de droit à disposition, aient été erronés. Quant aux autres motifs, invoqués ultérieurement, à supposer qu'ils puissent être retenus dans le cadre restrictif rappelé ci-dessus et soient considérés comme établis, ils n'apparaissent en rien suffisamment graves pour être constitutifs de justes motifs. Il s'ensuit que le licenciement notifié le 3 décembre 2004 à l'intimée n'était pas justifié, comme les premiers juges l'ont retenu. Ceux-ci ont donc à raison examiné les prétentions de l'employée basées sur l'art. 337c CO. En l'occurrence, le Tribunal a retenu que l'intimée n'avait pas perçu le salaire du mois de novembre 2004. L'appelante, même dans une argumentation subsidiaire, ne critique en rien ce point du jugement. Elle ne remet pas non plus en cause la durée du délai de congé prise en compte par les premiers juges (deux mois, délai suspendu en raison de l'incapacité de travail de l'employée), ni la quotité du salaire, ni, encore, le principe et la quotité d'un treizième salaire. Lors de la comparution personnelle de son administrateur actuel, l'appelante avait déclaré ignorer si les pièces produites par l'intimée à l'appui de ses prétentions salariales (salaire mensuel de 6'000 fr. et treizième salaire) étaient ou non exactes, notamment en raison de la saisie opérée dans le cadre de la procédure pénale. Après la reprise de l'instruction de la présente procédure, elle ne s'est plus prononcée sur les pièces en question, et n'a pas requis d'actes d'instruction sur ce point de la part du Tribunal, considérant que la cause était en état d'être jugée. Dans ces conditions, le jugement attaqué sera confirmé sur ces points. L'appelante n'a pas non plus remis en question le principe et la quotité de l'indemnité allouée par les premiers juges en application de l'art. 337c al. 3 CO; celle-ci, qui apparaît conforme aux principes légaux et jurisprudentiels rappelés ci-dessus, sera également confirmée. 5.             Il n'est pas perçu de frais (art. 71 RTFMC), ni alloué de dépens (art. 22 al. 2 LaCC).![endif]&gt;![if&gt; * * * * * PAR CES MOTIFS, La Chambre des prud'hommes, groupe 4 : À la forme : Déclare recevable l'appel formé par A______ SA contre le jugement rendu le 14 mars 2013 ( JTPH/60/2013 ) par le Tribunal des prud'hommes. Au fond : Confirme ce jugement. Déboute les parties de toutes autres conclusions. Siégeant : Madame Sylvie DROIN, présidente, Monsieur Olivier GROMETTO , juge employeur, Mme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