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CAPJ/8/2021 vom 27. Februar 2023</w:t>
      </w:r>
    </w:p>
    <w:p>
      <w:r>
        <w:t>GE Cour de justice, 2023-02-27, FR</w:t>
      </w:r>
    </w:p>
    <w:p>
      <w:r>
        <w:rPr>
          <w:b/>
        </w:rPr>
        <w:t xml:space="preserve">Quelle: </w:t>
      </w:r>
      <w:r>
        <w:t>https://mcp.opencaselaw.ch/entscheid/ge_gerichte_CAPJ_8_2021</w:t>
      </w:r>
    </w:p>
    <w:p>
      <w:r>
        <w:t>FR: GE_GERICHTE CAPJ/8/2021 du 27 février 2023</w:t>
      </w:r>
    </w:p>
    <w:p>
      <w:r>
        <w:t>IT: GE_GERICHTE CAPJ/8/2021 del 27 febbraio 2023</w:t>
      </w:r>
    </w:p>
    <w:p>
      <w:pPr>
        <w:pStyle w:val="Heading2"/>
      </w:pPr>
      <w:r>
        <w:t>Regeste</w:t>
      </w:r>
    </w:p>
    <w:p>
      <w:r>
        <w:t>DROIT DISCIPLINAIRE;FAUTE;RÉCUSATION;MOYEN DE PREUVE;TÉMOIN | LPA.15.al3; LPA.31; LOJ.20</w:t>
      </w:r>
    </w:p>
    <w:p>
      <w:pPr>
        <w:pStyle w:val="Heading2"/>
      </w:pPr>
      <w:r>
        <w:t>Erwägungen</w:t>
      </w:r>
    </w:p>
    <w:p>
      <w:r>
        <w:rPr>
          <w:b/>
        </w:rPr>
        <w:t>E. 20</w:t>
      </w:r>
    </w:p>
    <w:p>
      <w:r>
        <w:t>Dans ses écritures après instruction complémentaire du 21 octobre 2022, A______ a persisté intégralement dans les conclusions prises dans son acte de recours du 27 octobre 2021. L’argumentation développée sera reprise ci-après, dans la mesure utile, notamment concernant la question de l’audition du Premier Procureur B______ en qualité de témoin. EN DROIT 1. Le recours a été interjeté dans le délai et les formes prescrites par la loi, auprès de la Cour de céans, compétente pour statuer sur les recours dirigés contre les décisions du CSM (art. 62 al. 1 let. a, art. 64 al. 1 et art. 65 al. 1 et 2 LPA ; art. 138 let. a de la loi sur l’organisation judiciaire du 26 septembre 2010 (LOJ – RS/GE E 2 05)). 2. La LPA est applicable aux procédures relevant de la compétence de la Cour de céans (art. 139 al. 1 LOJ).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La doctrine traditionnelle distingue deux manières de conférer une marge de manœuvre à l'administration dans l'application du droit : la liberté d'appréciation ( Ermessen ), résultant d'une volonté expresse du législateur, et la latitude de jugement ( Beurteilungsspielraum ), découlant le plus souvent de l'emploi, dans le texte légal, d'une notion juridique indéterminée ( unbestimmter Rechtsbegriff ).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 Ermessen , parfois Entscheidungsspielraum ]) constitue un espace de liberté, conféré par le législateur à l'administration, que le juge doit respecter lorsqu'il n'a pas le pouvoir de contrôler l'opportunité d'une décision (cf. Thierry TANQUEREL, Manuel de droit administratif, 2 ème éd. 2018, p. 179 ss ; Thierry TANQUEREL, Le contrôle de l'opportunité, in : Le contentieux administratif, 2013, p. 209 ss ; Pierre MOOR / Alexandre FLÜCKIGER / Vincent MARTENET, Droit administratif, vol. I, 3 ème éd. 2012, chap. 4.3.1 p. 735 ss ; Pierre TSCHANNEN / Ulrich ZIMMERLI / Markus MÜLLER, Allgemeines Verwaltungsrecht, 4 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(Thierry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 La juridiction administrative chargée de statuer sur un recours est liée par les conclusions des parties (art. 69 al. 1 LPA). 4. 4.1. S’agissant de la question de la récusation du Procureur général, le recourant a expressément reconnu n’avoir pas respecté le délai pour la solliciter, alors qu’il était en mesure de le faire (art. 15 al. 3 LPA). Il n’a d’ailleurs pas pris de conclusions sur ce point. Dans ces conditions, la Cour de céans, qui n’examine que des problèmes dont elle est régulièrement saisie, ne procédera à aucune analyse à ce sujet, aucun examen d’office n’étant requis. Par ailleurs, elle n’a pas à procéder par voie d’« obiter dictum », sauf à le décider elle-même. 4.2. Le recourant fait valoir que le Premier Procureur B______ n’aurait pas dû être entendu comme témoin, mais comme personne entendue à titre de renseignement au sens de l’article 31 LPA, dans la mesure où il serait dénonciateur et membre du CSM, assimilé à un organe de la personne morale partie à la procédure, étant toutefois précisé qu’à l’audience d’enquêtes du 25 mai 2022, le recourant n’a soulevé aucun grief contre les modalités d’audition de l’intéressé. 4.2.1. Conformément à l’article 31 LPA, ne peuvent être entendus qu’à titre de renseignement : les parents en ligne directe ascendante et descendante (let. a), les frères et sœurs (let. b), les oncles et tantes (let. c), les neveux et nièces (let. d), les alliés au même degré (let. e), le conjoint et l’ex-conjoint (let. f), le partenaire enregistré et l’ex-partenaire enregistré (let. g), les enfants de moins de 16 ans (let. h), les membres des organes des personnes morales dans les causes où la personne morale est partie (let. i). En procédure administrative, la constatation des faits est gouvernée par le principe de la libre appréciation des preuves (art. 20 al. 1 2 ème phr. LPA ; ATF 139 II 185 , consid. 9.2 ; 130 II 482 , consid. 3.2). Le juge forme ainsi librement sa conviction en analysant la force probante des preuves administrées, et ce n'est ni le genre, ni le nombre des preuves qui est déterminant, mais leur force de persuasion ( ATA/1177/2022 du 22 novembre 2022, consid. 7b). 4.2.2. En l’occurrence, B______ n’a pas siégé dans la composition du CSM qui a mené la procédure disciplinaire et qui a statué par la décision du 21 juin 2021 prononçant une sanction disciplinaire à l’encontre de A______. Il n’a pas non plus été désigné pour représenter le CSM dans la procédure de recours devant la Cour de céans, ni dans le cadre des écritures remises par le CSM, ni lors des audiences. B______ ne remplit ainsi pas les conditions de l’article 31 LPA, en particulier lettre i. C’est, en conséquence, à juste titre que la Cour de céans l’a interrogé comme témoin. En tout état, l’appréciation des preuves des éléments retenus dans le présent arrêt n’aurait pas été différente si ce magistrat n’avait pas été exhorté à dire la vérité conformément à l’article 34 LPA avant son audition. 4.3. Le recourant reproche ensuite au CSM d’avoir retenu à tort l’existence de manquements disciplinaires dans le cadre des procédures P/3______ et P/2______, ainsi que de la procédure P/1______. 4.3.1. A teneur de l’article 20 alinéa 1 LOJ, est passible d’une sanction disciplinaire – soit l’avertissement, le blâme, l’amende jusqu’ à 40'000 fr ou la destitution (let. a – d) – le magistrat qui, intentionnellement ou par négligence, viole les devoirs de sa charge, adopte un comportement portant atteinte à la dignité de la magistrature ou ne respecte pas les décisions du CSM. 4.3.1.1.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 consid. 4.4 ; 108 Ia 230 , consid. 2b et 5b / JdT 1984 I 21 ; Arrêt du Tribunal fédéral 1D_15/2007 du 13 décembre 2007, consid. 1.1 ; Arrêt de la Cour d’appel du Pouvoir judiciaire du 26 août 2020 dans la cause CAPJ 1_2019, consid. 3.4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(Arrêt de la Cour d’appel du Pouvoir judiciaire du 26 août 2020 dans la cause CAPJ 1_2019, consid. 3.4 ; Ulrich HÄFELIN / Georg MÜLLER / Felix UHLMANN, Allgemeines Verwaltungsrecht, 7ème éd., 2016, n. 1515 ; Jacques DUBEY / Jean-Baptiste ZUFFEREY, Droit administratif général, 2014, n. 2249 ; Thierry TANQUEREL, Manuel de droit administratif, 2018, n. 1228, p. 417). 4.3.1.2.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méconnaissance qui doit cependant être fautive (Gabriel BOINAY, op. cit. , p. 29 n. 55, p. 14 ; Arrêt de la Cour d’appel du Pouvoir judiciaire du 26 août 2020 dans la cause CAPJ 1_2019, consid. 3.5.3).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 p. 28 n. 50 ; Arrêt de la Cour d’appel du Pouvoir judiciaire du 26 août 2020 dans la cause CAPJ 1_2019, consid. 3.5.3). Agit intentionnellement quiconque commet une infraction avec conscience et volonté (art. 12 al. 2 CP). L'auteur agit déjà intentionnellement lorsqu'il tient pour possible la réalisation de l'infraction et l'accepte au cas où celle-ci se produirait (art. 12 al. 2, 2 ème phr., CP ; dol éventuel). Agit par négligence quiconque, par une imprévoyance coupable, commet une infraction sans se rendre compte (négligence inconsciente) ou sans en tenir compte (négligence consciente) des conséquences de son acte, l'imprévoyance étant coupable quand l'auteur n'a pas usé des précautions commandées par les circonstances et par sa situation personnelle (art. 12 al. 3 CP), c’est-à-dire sa formation, ses capacités intellectuelles et son expérience professionnelle (ATF 135 II 86 , consid. 4.3). Il s'agit donc de déterminer s'il y a eu objectivement un manquement (une imprévoyance), puis, dans l'affirmative, de voir si le manquement peut être reproché à l’auteur sur le plan subjectif (ATF 90 IV 8 , consid. 1). La négligence implique de porter un jugement sur le comportement de l’auteur, en se demandant ce qu’il aurait pu et dû faire, et non de rechercher ce qu’il avait à l’esprit (Arrêt de la Cour d’appel du Pouvoir judiciaire du 26 août 2020 dans la cause CAPJ 1_2019, consid. 3.5.3). 4.3.2. S’agissant des procédures P/3______ et P/2______, l’instruction complémentaire entreprise par la Cour de céans a permis de clarifier un certain nombre de points et a mis en évidence les contradictions dans l’argumentaire du recourant. A cet égard, le témoignage de L______ s’est avéré particulièrement instructif. Contrairement aux affirmations du recourant, il doit être tenu pour établi que ce dernier ne s’est à aucun moment préoccupé des règles du Ministère public concernant l’attribution des procédures et en particulier de celles relatives à l’antériorité. Le recourant a ainsi fait désarchiver la procédure P/3______, attribuée à J______, puis classée par ce dernier. Le recourant, qui avait intégré le Ministère public depuis deux ans, ne pouvait ignorer l’importance de ces règles régissant le fonctionnement interne de cette autorité. Devant la Cour de céans, le recourant a admis qu’à l’occasion de l’entretien téléphonique avec Maître K______, il avait évoqué la procédure P/3______ alors que l’avocat, dans son courriel du 23 avril 2016, n’avait visé que la procédure P/2______. Le témoignage de L______ en dit long sur la manière du recourant de s’affranchir des usages pourtant bien établis, notamment celui qui veut qu’une demande d’autorisation de consultation doit être formée par courrier. Le recourant s’est ensuite arrogé la compétence de décider de l’autorisation de consultation de cette procédure classée, non jointe et non versée à la procédure dont il avait la charge, selon des modalités qu’il a lui-même qualifiées de « non anodines » , « sous la foi du Palais » , expression dont sa propre greffière ignorait la signification et qu’il n’a pas jugé utile de lui expliquer. Contrairement à ses affirmations contraires, le témoignage de L______ prouve que le recourant a – que ce soit intentionnellement ou par négligence – expressément autorisé les avocats anglais, correspondants de Maître K______, à consulter les deux procédures. La fiche de consultation prévue pour les 4 et 5 juillet 2016, avec la mention manuscrite « + conseils anglais » est d’ailleurs cohérente par rapport au courriel du 20 juin 2016, adressé par Maître N______, associée de Maître K______, à L______, avec copie au recourant, qui fait état de l’accord du recourant. Il est à noter, à ce stade, que, si le recourant avait observé l’usage du courrier pour une demande d’autorisation de consultation d’une procédure, de surcroît par des avocats étrangers et dans un contexte sensible, il aurait probablement accordé à cette demande l’importance qu’elle méritait, que la procédure comportât à ce stade d’autres parties ayant qualité pour recourir ou non contre une autorisation de consulter. La chronologie établie par les pièces et par l’instruction entreprise par la Cour de céans montre, en plus, que le recourant n’a pas suivi les usages comme les circonstances l’auraient justifié. Ainsi, il ne semble pas avoir contrôlé la fiche de consultation qui indiquait, pour les 4 et 5 juillet 2016, le nom de l’avocat qui était finalement venu consulter les deux procédures, mais également la mention « + conseils anglais ». S’il l’avait fait, examen qui s’imposait au vu de la nature sensible de la procédure et du caractère exceptionnel de ce mode de faire, il n’aurait pas manqué de donner des instructions plus claires par rapport à toute nouvelle consultation, en particulier durant la période de vacances qu’il savait imminente et vu l’absence de sa greffière personnelle, L______, pour cause de maternité. Que les termes utilisés par la Chambre pénale de recours de la Cour de justice dans le cadre de recours ayant trait à cette consultation n’aient pas été trop incisifs à l’encontre du recourant ne modifie pas l’appréciation qui précède. Les manquements que le CSM a retenus à charge du recourant, à savoir l’autorisation donnée à trois reprises à une partie plaignante de consulter, par l’intermédiaire de ses avocats genevois et étrangers, une procédure attribuée à un autre magistrat que lui, sans réelle consultation de ce dernier, sans ordonnance de jonction avec la nouvelle procédure, voire sans apport dans cette dernière, sans se préoccuper des conséquences possibles de l’utilisation abusive des informations ainsi obtenues et sans égard à la sphère privée des autres parties à la procédure classée, sont donc amplement établis. 4.3.3. Pour ce qui est des manquements retenus par le CSM dans la procédure P/1______, l’instruction complémentaire diligentée par la Cour de céans, par ailleurs sollicitée, pour partie, par le recourant lui-même, s’est avérée instructive, bien que seulement partiellement concluante en termes de résultats. En effet, la déclaration de la témoin Maître D______ n’a guère apporté d’éléments utiles, tant la mémoire, réelle ou feinte, de l’intéressée était défaillante, en dépit des circonstances très particulières de cette procédure, dans laquelle l’étude d’avocats pour laquelle elle était active avait assumé un rôle tout à fait prépondérant. À titre préliminaire, il convient de rappeler que le recourant a admis, devant le CSM, que cette procédure, qualifiée de « mammouth » , pour comporter entre 130 et 140 classeurs fédéraux – 100 à 200 selon H______ – et impliquer 4 prévenus et 30 parties plaignantes, aurait été difficile à assumer en procédure ordinaire pour la magistrate devant lui succéder au 1 er octobre 2019. Le recourant savait également qu’il était attendu de lui qu’il termine l’instruction de cette procédure et établisse l’acte d’accusation avant son départ, le risque de prescription étant réel. Le recourant a également admis – l’on reviendra à cette problématique – que le document que lui avait transmis Maître D______ avait servi à l’établissement de l’acte d’accusation tant en procédure simplifiée que pour une éventuelle procédure ordinaire, selon le procédé du « copier - coller ». Le recourant a en outre déclaré, devant le CSM, qu’il n’avait jamais accepté qu’une partie rédige un acte d’accusation ou tout autre acte du Ministère public mais, s’il y avait un dossier qui pouvait faire exception, c’était celui-là. Devant la Cour de céans, le recourant a précisé que, selon son estimation, il avait intégré entre 80 % et 90 % du document établi par Maître D______ dans l’acte d’accusation. Le recourant a mis beaucoup d’énergie, en dernier lieu dans ses écritures du 21 octobre 2022, à tenter de faire partager sa vision de la procédure simplifiée. S’il peut être suivi dans son argumentation générale lorsqu’il affirme et insiste sur le fait que les parties ont une grande liberté, à la forme et au fond, dans leurs discussions tendant à trouver un accord en vue d’une procédure simplifiée, il semble oublier qu’il y a des limites à cette liberté et que le magistrat Procureur a des devoirs inaliénables même dans le cadre d’une telle procédure. Les explications du recourant devant la Cour de céans en relation avec la réception, le 12 septembre 2019, du document établi par Maître D______ manquent singulièrement de crédibilité. Il n’est pas sérieux de soutenir qu’il ne s’attendait pas à recevoir un tel document, que ce document n’était pas un outil de travail pour lui car il n’avait pas encore été saisi d’une demande de procédure simplifiée et qu’il ne s’était jamais posé la question de savoir ce que représentait ce document en termes de jours et d’heures de travail. Le 12 septembre 2019, le recourant était à moins de trois semaines de son changement de juridiction et, le 20 septembre 2019, date de cette audience dite informelle, à la suite de laquelle il avait reçu la demande de procédure simplifiée, l’ordonnance d’exécution datant même du 23 septembre 2019, il ne lui restait qu’une petite semaine pour rédiger l’acte d’accusation. Or, il a reconnu lui-même que l’exercice de rédaction d’un acte d’accusation dans une telle procédure en moins de trois mois n’était pas la norme. Il découle de cette chronologie que, sans le document de Maître D______, le recourant aurait été dans l’impossibilité d’établir un acte d’accusation en procédure simplifiée et, à plus forte raison, en vue d’une procédure ordinaire. En étant finalement obligé de faire sien ce document, par « copier – coller », le recourant a bien aliéné son indépendance de magistrat vis-à-vis d’une partie. Quand bien même il est possible que ce document reflétait globalement les discussions entre les conseils des parties plaignantes, il est établi que la cliente de Maître D______ était la principale intéressée, ce qu’atteste la teneur du courriel accompagnant ce document, teneur qui aurait dû interpeller le recourant. Qui plus est, le recourant n’a pas hésité à affirmer, dans sa note du 28 septembre 2019 à B______ et à H______, qu’il avait rédigé un projet d’acte d’accusation en forme simplifiée, ainsi qu’un projet d’acte d’accusation en procédure ordinaire, les deux actes étant datés du 8 octobre 2019. Le recourant a donc clairement induit, ou tenté d’induire, les deux magistrats précités en erreur quant à son rôle dans la rédaction de ces actes de procédure. Il est sans pertinence que, par la suite, H______ ait apporté, avec sa juriste, quelques modifications à ces actes, l’essentiel ayant été conservé et soumis à la juridiction de jugement, avec le résultat que l’on sait (cf. supra ch. 18 in fine ). Devant le CSM, H______ a d’ailleurs précisé qu’elle n’avait pas eu le temps de se plonger dans le détail de ce dossier plus qu’ancien, compte tenu de son ampleur. Que le Premier Procureur B______ et/ou H______ auraient pu – à un moment qui n’a pas été établi – se rendre compte de la manière particulière d’instruire du recourant est sans pertinence, ce dernier devant assumer la responsabilité du dossier jusqu’à son changement de juridiction. Le recourant a au demeurant organisé, dans son bureau, sur demande des parties, en urgence, une audience qu’il a qualifiée d’informelle, le 20 septembre 2019. Selon ses explications, l’accord des parties et en particulier du prévenu, concernant les charges retenues contre ce dernier, la sanction proposée et les prétentions civiles des parties plaignantes, était intervenu à cette occasion. Pour une raison qui échappe à la Cour de céans, le recourant n’a pas jugé nécessaire d’établir un procès-verbal de cette audience. Un tel procès-verbal était pourtant indispensable compte tenu des circonstances. Le recourant était sur le départ et savait en conséquence que la magistrate qui lui succédait dans ce dossier exceptionnel, comme dans toutes les procédures qu’il avait instruites ou qui étaient en cours d’instruction, avait besoin de clarté pour pouvoir travailler efficacement. Il était donc essentiel qu’il soit noté que les charges retenues contre le prévenu E______ étaient celles décrites dans le document du 12 septembre 2019, et que le magistrat Procureur indique dans ce procès-verbal qu’il faisait siennes les charges telles que décrites et que la peine requise soit mentionnée. De la même manière, il était essentiel que la position du prévenu soit notée de manière complète, c’est-à-dire qu’il acceptait les charges retenues contre lui, les prétentions civiles en découlant, ainsi que la quotité et les modalités de la peine voulue par le Procureur. Il était d’autant plus impératif de protocoler l’ensemble de ces éléments que, lors de l’audience précédente du 4 septembre 2019, le prévenu avait encore réclamé une expertise psychiatrique qui aurait nécessité, si elle avait dû être ordonnée, une prolongation notable de la procédure. Il aurait également été judicieux, dans la perspective d’une bonne transition de la procédure entre deux magistrats, qu’il soit noté au procès-verbal du 20 septembre 2019, que les parties et le prévenu acceptaient expressément le point de départ de la prescription, tel que le recourant a affirmé l’avoir toujours voulu et exprimé. Cette totale incurie de la part du recourant, dans une procédure de cette importance et de cette complexité, doit être qualifiée de manquement grave aux devoirs de sa part et requiert une réponse disciplinaire. 4.3.4. Constitue un élément aggravant à charge du recourant le fait que, tant dans le contexte des P/3______ et P/2______, analysées plus haut (cf. supra ch. 4.3.2), que de celui de la P/1______, en sa phase finale par rapport au changement de juridiction, le recourant, pourtant conscient de s’être fait abuser par Maître K______ ou les correspondants étrangers de celui-ci, a continué à prendre des libertés avec le Code de procédure pénale, les directives internes du Ministère public et les usages, au point de compromettre sa stature de magistrat et l’image, ainsi que l’indépendance de la justice, alors que de surcroît, l’étude d’avocats concernée dans les deux contextes était la même. Que le recourant ait agi par convenance personnelle, comme l’a retenu le CSM, qui a évoqué un motif égoïste, ou sous l’effet d’un sentiment de toute puissance lui permettant de s’écarter des règles applicables à ses pairs, ne change pas le résultat de la présente analyse, pas plus que le fait que le recourant ait par ailleurs pu faire des efforts sincères dans la gestion de son cabinet. Les deux manquements retenus par le CSM dans sa décision du 21 juin 2021 seront ainsi confirmés. 4.4. Conformément à l’article 20 LOJ, la poursuite et la sanction disciplinaires se prescrivent par 7 ans. En l’espèce, dans les motifs l’ayant conduit au choix du prononcé d’un nouveau blâme assorti d’une amende de 10'000 fr., le CSM a tenu compte d’un blâme prononcé un peu plus de 7 ans – le 7 avril 2014 – avant la décision litigieuse du 21 juin 2021, soit un élément prescrit. Par conséquent, la nature de la sanction et sa quotité devront être réexaminées par le CSM, sans tenir compte de l’antécédent de 2014. 5. La décision entreprise sera ainsi annulée en tant qu’elle prononce un blâme assorti d’une amende de 10'000 fr. à l’encontre du recourant, mais, en revanche, confirmée s’agissant des manquements de l’intéressé retenus par l’autorité intimée. Dans la mesure où la fixation de la sanction devra faire l’objet d’une nouvelle décision impliquant l’exercice du pouvoir d’appréciation et que celui-ci est du ressort de l’autorité intimée, il convient de renvoyer la présente cause à cette dernière pour qu’elle statue à ce sujet (art. 69 al. 2 LPA). 6. Compte tenu de l’importance de l’instruction complémentaire entreprise et de l’issue de la procédure, la décision attaquée étant confirmée pour l’essentiel, un émolument de 1'000 fr. sera fixé à la charge du recourant, par ailleurs compensé avec l’avance versée. La Cour d’appel renoncera en revanche à mettre un émolument complémentaire à la charge dudit recourant. Aucune indemnité de procédure ne lui sera allouée, quand bien même le recourant a partiellement obtenu gain de cause, étant précisé qu’il n’a d’ailleurs pas pris de conclusion à cet égard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