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CAPJ/1/2020 vom 19. Juni 2020</w:t>
      </w:r>
    </w:p>
    <w:p>
      <w:r>
        <w:t>GE Cour de justice, 2020-06-19, FR</w:t>
      </w:r>
    </w:p>
    <w:p>
      <w:r>
        <w:rPr>
          <w:b/>
        </w:rPr>
        <w:t xml:space="preserve">Quelle: </w:t>
      </w:r>
      <w:r>
        <w:t>https://mcp.opencaselaw.ch/entscheid/ge_gerichte_CAPJ_1_2020</w:t>
      </w:r>
    </w:p>
    <w:p>
      <w:r>
        <w:t>FR: GE_GERICHTE CAPJ/1/2020 du 19 juin 2020</w:t>
      </w:r>
    </w:p>
    <w:p>
      <w:r>
        <w:t>IT: GE_GERICHTE CAPJ/1/2020 del 19 giugno 2020</w:t>
      </w:r>
    </w:p>
    <w:p>
      <w:pPr>
        <w:pStyle w:val="Heading2"/>
      </w:pPr>
      <w:r>
        <w:t>Regeste</w:t>
      </w:r>
    </w:p>
    <w:p>
      <w:r>
        <w:t>QUALITÉ POUR RECOURIR;DÉNONCIATEUR | LPA.60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Cour de céans relève, à toutes fins utiles, que le contrôle des griefs que la recourante semble adresser au magistrat mis en cause sont de la compétence des autorités de recours, car ceux-ci concernent l’application de la loi et de la jurisprudence.</w:t>
      </w:r>
    </w:p>
    <w:p>
      <w:r>
        <w:rPr>
          <w:b/>
        </w:rPr>
        <w:t>E. 7</w:t>
      </w:r>
    </w:p>
    <w:p>
      <w:r>
        <w:t>. Le recours, manifestement en tous points irrecevable, sera déclaré comme tel, sans autre acte d’instruction (art. 72 LPA).</w:t>
      </w:r>
    </w:p>
    <w:p>
      <w:r>
        <w:rPr>
          <w:b/>
        </w:rPr>
        <w:t>E. 8</w:t>
      </w:r>
    </w:p>
    <w:p>
      <w:r>
        <w:t>Au vu des circonstances du cas d’espèce, il sera renoncé à mettre des frais ou émolument à charge de la recourante (art. 87 al. 1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