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CAPJ/1/2012 vom 2. Mai 2012</w:t>
      </w:r>
    </w:p>
    <w:p>
      <w:r>
        <w:t>GE Cour de justice, 2012-05-02, FR</w:t>
      </w:r>
    </w:p>
    <w:p>
      <w:r>
        <w:rPr>
          <w:b/>
        </w:rPr>
        <w:t xml:space="preserve">Quelle: </w:t>
      </w:r>
      <w:r>
        <w:t>https://mcp.opencaselaw.ch/entscheid/ge_gerichte_CAPJ_1_2012</w:t>
      </w:r>
    </w:p>
    <w:p>
      <w:r>
        <w:t>FR: GE_GERICHTE CAPJ/1/2012 du 2 mai 2012</w:t>
      </w:r>
    </w:p>
    <w:p>
      <w:r>
        <w:t>IT: GE_GERICHTE CAPJ/1/2012 del 2 maggio 2012</w:t>
      </w:r>
    </w:p>
    <w:p>
      <w:pPr>
        <w:pStyle w:val="Heading2"/>
      </w:pPr>
      <w:r>
        <w:t>Regeste</w:t>
      </w:r>
    </w:p>
    <w:p>
      <w:r>
        <w:t>Résumé: Récusation au motif que le tirage au sort des jurés avait conduit à une proportion anormalement élevée de fonctionnaires par rapport à la liste initiale servant de base à l'opération</w:t>
      </w:r>
    </w:p>
    <w:p>
      <w:pPr>
        <w:pStyle w:val="Heading2"/>
      </w:pPr>
      <w:r>
        <w:t>Erwägungen</w:t>
      </w:r>
    </w:p>
    <w:p>
      <w:r>
        <w:rPr>
          <w:b/>
        </w:rPr>
        <w:t>E. 1</w:t>
      </w:r>
    </w:p>
    <w:p>
      <w:r>
        <w:t>Interjeté dans la forme et le délai prévus par la loi par la personne faisant l’objet de la décision du CSM, le recours est recevable (art. 138, let. A loi sur l’organisation judiciaire (LOJ) du 26 septembre, art. 62, al. 1, let. A, 64, al. 1 et 65, al. 1 loi sur la procédure administrative (LPA) du 12 septembre 1985).</w:t>
      </w:r>
    </w:p>
    <w:p>
      <w:r>
        <w:rPr>
          <w:b/>
        </w:rPr>
        <w:t>E. 2</w:t>
      </w:r>
    </w:p>
    <w:p>
      <w:r>
        <w:t>Conformément aux principes retenus dans l’affaire Z. c. Conseil supérieur de la magistrature (CAM 3_2010, consid. 3), la CAPJ est une autorité de recours de dernière instance cantonale, qui statue conformément à la LPA suite à une décision de première instance cantonale de nature administrative (art. 11 B aLCSM, 139 nLOJ). Le recours contre la décision du CSM - autorité qui dispose d’un large pouvoir d’appréciation - peut être formé « pour violation du droit y compris l’excès et l’abus du pouvoir d’appréciation » (art. 61, al. 1, litt. a LPA) et « pour constatation inexacte ou incomplète des faits pertinents » (article 61, al. 1, litt. b LPA). Cela ne signifie pas pour autant que la marge d’appréciation de la CAPJ se limite à l’arbitraire. En effet, cette instance a été voulue par le législateur afin de garantir un contrôle judiciaire de dernière instance cantonale aux plaideurs directement touchés par une décision du Conseil supérieur de la magistrature, et qui ont un intérêt personnel digne de protection à ce contrôle (PL 10253 - Exposé des motifs du Conseil d’Etat à l’appui du projet de loi modifiant la LOJ (E 2 05, p. 70/80)). Il en résulte que, pour pouvoir exercer son contrôle judiciaire en sa qualité de Tribunal supérieur, la CAPJ examine librement les faits et applique d’office le droit (cf. art. 110 LTF ; Y. Donzallaz, Loi sur le Tribunal fédéral, Berne 2008, p. 1593), sans être limitée au contrôle de l’arbitraire.</w:t>
      </w:r>
    </w:p>
    <w:p>
      <w:r>
        <w:t>Page: 6/11</w:t>
      </w:r>
    </w:p>
    <w:p>
      <w:r>
        <w:rPr>
          <w:b/>
        </w:rPr>
        <w:t>E. 3</w:t>
      </w:r>
    </w:p>
    <w:p>
      <w:r>
        <w:t>La poursuite et la sanction disciplinaires se prescrivent par 7 ans.</w:t>
      </w:r>
    </w:p>
    <w:p>
      <w:r>
        <w:rPr>
          <w:b/>
        </w:rPr>
        <w:t>E. 4</w:t>
      </w:r>
    </w:p>
    <w:p>
      <w:r>
        <w:t>Le reproche retenu par le CSM s’avère, en effet, infondé.</w:t>
      </w:r>
    </w:p>
    <w:p>
      <w:r>
        <w:rPr>
          <w:b/>
        </w:rPr>
        <w:t>E. 4.1</w:t>
      </w:r>
    </w:p>
    <w:p>
      <w:r>
        <w:t>Le CSM ne sanctionne pas A______ pour avoir influencé le résultat du tirage au sort du jury. En cela, il mérite d’être suivi. Certes, au regard de l’arrêt rendu par le Tribunal fédéral en date du 25 octobre 2010, cette circonstance était propre à faire naître une apparence de prévention justifiant la récusation de ce magistrat. Un motif de récusation n’équivaut cependant pas à une faute disciplinaire. Il ne fait aucun doute qu’au regard de l’art. 249 al. 1 aCPPGe, l’opération précise qui devait se dérouler le 25 mai 2010 était un tirage au sort, par quoi on entend un processus de désignation « à l’aveugle », et que l’opération effective ne satisfaisait pas à ce critère. Il ressort cependant de la première décision sur récusation de la Cour de justice du 31 août 2010 que cette manière de faire était conforme à la pratique « en usage depuis plusieurs législatures pour le tirage au sort des jurys de Cour correctionnelle et de Cour d’assises ». Cette pratique s’était donc instaurée sous la responsabilité des prédécesseurs de A______ déjà, au regard du fait que certaines catégories professionnelles se révélaient régulièrement d’une disponibilité très limitée pour accomplir ce devoir civique. On relèvera d’ailleurs que, selon le système légal genevois, le jury n’était pas issu d’un processus entièrement aléatoire et encore moins représentatif de la composition de la population genevoise. D’une part, le tirage au sort se faisait sur la base de listes qui ne représentaient nullement une image sociologiquement fidèle de la population genevoise et de la répartition statistique des professions exercées. D’autre part, la loi elle-même prévoyait une exception à la désignation des jurés par le tirage au sort, chargeant, à l’art. 271 al. 2 aCPPGe, le président de compléter la liste en désignant d’office des jurés lorsque le nombre des jurés tirés au sort était devenu insuffisant du fait que trop de noms avaient dû être rayés pour les causes énumérées à l’art. 270 aCPPGe. En procédant comme il l’a fait, A______ avait donc adhéré à une pratique courante, certes contestable au regard de l’exigence légale d’un tirage au sort en audience</w:t>
      </w:r>
    </w:p>
    <w:p>
      <w:r>
        <w:t>Page: 8/11</w:t>
      </w:r>
    </w:p>
    <w:p>
      <w:r>
        <w:t>publique, mais compréhensible au regard d’une longue expérience démontrant l’extrême difficulté de réunir des jurys, surtout pour des procès d’une certaine durée. Le plenum de la Cour de justice n’a rien trouvé à redire à cette pratique avant que celle-ci ne soit critiquée par le Tribunal fédéral dans son arrêt du 25 octobre 2010 (décision du 31 août 2010, ch. 2.2., p. 4). Comme le relève le CSM, le but poursuivi par A______ n’était pas de favoriser l’une ou l’autre des parties mais de permettre le déroulement régulier du procès qu’il était chargé de présider.</w:t>
      </w:r>
    </w:p>
    <w:p>
      <w:r>
        <w:rPr>
          <w:b/>
        </w:rPr>
        <w:t>E. 4.2</w:t>
      </w:r>
    </w:p>
    <w:p>
      <w:r>
        <w:t>Le reproche sur lequel se fonde le blâme infligé par le CSM à A______ est d’avoir prononcé un mensonge devant ses pairs, après avoir été exhorté à dire la vérité. Il faut entendre par là que le CSM estime que A______ a délibérément fait une déclaration contraire à la vérité, lors de son audition sur le déroulement du processus de sélection du jury, conduite par le plenum de la Cour le 10 novembre 2010. Cette affirmation est insoutenable au regard du dossier. Lors de l’audition du 10 novembre 2010, le point décisif, au regard de l’arrêt du Tribunal fédéral, était de savoir si des fiches avaient ou non été écartées en raison de la disponibilité supposée moindre de certaines personnes du fait de leurs occupations professionnelles. Les dires du magistrat étaient parfaitement véridiques sur ce point, puisqu’il a admis sans détour avoir renoncé à sortir certaines fiches du carton, leur préférant une autre se trouvant immédiatement devant. Sur le reproche de mensonge, le raisonnement du CSM se révèle difficilement compréhensible. C’est ainsi que l’on peut lire (à la page 12 de la décision attaquée) que « même s’il est vrai que l’intéressé a déclaré avoir volontairement écarté certaines fiches, ce qui, à la lecture de l’arrêt du Tribunal fédéral du 25 octobre 2010, était suffisant pour que le plénum de la Cour de justice prononce sa récusation, le CSM a acquis la conviction que les mensonges de l’intéressé portaient sur des éléments qui tendaient à assurer le bon déroulement du procès… ». Le CSM accuse donc A______ de « mensonge », tout en lui reprochant d’avoir « déclaré avoir volontairement écarté certaines fiches », ce qui suffisait pour que la Cour de justice prononce la récusation. Sur ce point à lui seul déterminant, le CSM n’a donc identifié aucun « mensonge », le CSM reconnaissant par ailleurs que le nombre exact des retraits était sans pertinence. Si le CSM déclare néanmoins avoir acquis la conviction qu’un mensonge a été prononcé par l’intéressé, c’est parce qu’il lui reproche d’avoir sous-évalué le nombre exact des fiches écartées (comme vu ci-dessus, fait sans pertinence). Ce raisonnement ne saurait être suivi. L’audition de A______ par le plenum de la Cour s’est déroulée le 10 novembre 2010, soit presque six mois après le tirage au sort du 25 mai 2010. Il y avait eu trois tirages de jurés pendant cette même matinée. De manière compréhensible, s’agissant d’une opération que la pratique genevoise avait réduite à une formalité se déroulant dans un greffe hors la présence des parties au procès, les souvenirs de A______ étaient vagues. Ses déclarations au sujet des aspects quantitatifs étaient donc formulées de manière à exprimer leur caractère approximatif : « J’estime à trois ou quatre le nombre de cas de ce genre qui s’est produit lors du tirage du 25 mai 2010 […]. J’ai peut-être aussi écarté une ou deux fiches pour des raisons de disponibilités ». Les précautions oratoires auxquelles a eu recours A______ (« j’estime à trois ou quatre.. .» ; « j’ai peut-être aussi… ») ne laissaient subsister aucun doute sur le fait que celui-ci ne se sentait pas en mesure de se prononcer avec certitude sur le nombre exact de fiches écartées. La lecture du procès-verbal ne permet d’ailleurs pas de dire</w:t>
      </w:r>
    </w:p>
    <w:p>
      <w:r>
        <w:t>Page: 9/11</w:t>
      </w:r>
    </w:p>
    <w:p>
      <w:r>
        <w:t>si l’estimation s’élève à 3 à 4 ou 5 à 6, voire 7 fiches. Comme déjà relevé, la question était d’une importance secondaire aussi bien pour le magistrat auditionné que pour le plenum de la Cour qui l’auditionnait, puisqu’au regard de l’arrêt du Tribunal fédéral, le fait d’avoir écarté une seule fiche aurait suffi pour fonder la récusation. Même s’il était prouvé que le nombre de fiches écartées était en réalité de 8, 10 ou 12, cela ne permettrait pas d’en déduire que A______ aurait « menti », i.e. sciemment fait une déclaration fausse face à ses pairs. La décision du CSM doit être annulée de ce seul fait.</w:t>
      </w:r>
    </w:p>
    <w:p>
      <w:r>
        <w:rPr>
          <w:b/>
        </w:rPr>
        <w:t>E. 5</w:t>
      </w:r>
    </w:p>
    <w:p>
      <w:r>
        <w:t>Pour le surplus, même à supposer que les déclarations de A______ aient été affirmatives et précises et non vagues et approximatives, il faudrait encore, pour que l’on puisse l’accuser de mensonge, prouver que le nombre effectif des fiches écartées divergeait du nombre indiqué. Lors de son audition par le CSM, A______ a concédé avoir peut-être sous-évalué le nombre de fiches non tirées du carton, soulignant que le chiffre indiqué procédait d’une simple estimation. L’audition du greffier G______ n’a pas permis d’établir le nombre exact de fiches écartées. Il ne s’agit là à l’évidence pas d’éléments de preuve démontrant le nombre réel de fiches écartées. Aucune autre personne n’a été entendue. Le seul argument retenu par le CSM à l’appui de son blâme pour mensonge est la très faible probabilité statistique que le jury tel que tiré aurait pu être issu d’un tirage au sort respectant la procédure décrite par A______. L’unique moyen de preuve pour établir qu’il y a eu « mensonge » sur ce point est l’expertise privée produite par le dénonciateur et les calculs de probabilité statistique qui en résultent. Il s’agit d’un rapport commandité par le conseil de l’une des personnes renvoyées en jugement dans le procès que A______ devait présider. Ce document ne prétend pas engager l’université, mais deux de ses employés à titre privé, soit le professeur H______ et I______, MER en mathématique. Contrairement à ce que fait valoir le recourant, le fait que ce rapport n’est pas établi sur le papier à entête de l’université n’a rien de critiquable ; la pratique est la même pour les professeurs de la faculté de droit, qui ne sont évidemment pas habilités à se prévaloir du nom de l’université quand ils établissent des avis de droit privés à l’intention d’un plaideur. Une telle consultation a la même force probante qu’un mémoire déposé en justice par ce même plaideur, même si la solidité et la force de persuasion de l’argumentation et la réputation du sérieux scientifique de son auteur peuvent lui conférer un certain poids. En l’occurrence, le document succinct du 22 décembre 2010 – qui suit deux autres rapports dont le premier n’a pas été versé au dossier – a été établi par Messieurs H______ et I______ sur la base d’instructions dont la teneur n’est pas connue, seul le courrier de Me J______ du 3 septembre 2010, sollicitant l’expertise du même jour (soit la deuxième), ayant été versé au dossier. La manière dont ce courrier (par ailleurs précédé d’un entretien téléphonique dont la teneur est inconnue) est formulé montre que son auteur ne prétend pas à la neutralité mais qu’il agit unilatéralement comme partie à un contentieux.</w:t>
      </w:r>
    </w:p>
    <w:p>
      <w:r>
        <w:t>Page: 10/11</w:t>
      </w:r>
    </w:p>
    <w:p>
      <w:r>
        <w:t>Cette troisième expertise, établie apparemment en référence à des faits complétés par l’avocat au regard des déclarations faites par A______ lors de son audition par le plenum de la Cour de justice, se base sur la supposition que 280 noms ont été éliminés de la liste de 1334 jurés et que sept fiches au plus ont été écartées lors du tirage au sort. Quant au décompte des personnes revêtant la qualité de fonctionnaires, il résulte des seules suppositions du dénonciateur, faites sur la base des désignations professionnelles parfois ambiguës mentionnées dans la liste des jurés. Le CSM, soulignant que les « bases statistiques utilisées par le dénonciateur étaient erronées », a corrigé celles-ci. Il a aussi établi des tableaux reflétant les professions des personnes sur la liste initiale des jurés, celles sur la liste avant le tirage du 25 mai 2010, celles retenues pour la Banque X______, celles retenues le 30 août 2011 (date dont l’importance n’est pas explicitée) et celles représentant le « solde ». Il en ressort que le carton contenait encore 1093 fiches avant les tirages au sort du 25 mai 2010. Par ailleurs, selon le CSM, 20 fiches que le dénonciateur n’avait pas rattachées à la catégorie « fonction publique » pouvaient relever de celle-ci ; sur ces 20 fiches dont la qualité de fonctionnaire n’a pas été retenue dans les calculs du dénonciateur ayant servi de base aux calculs de probabilité de ces experts, aucune n’a été tirée dans le premier tirage pour la « Banque X______ ». La suite de la décision attaquée ne permet pas de comprendre l’importance que le CSM accorde à ces correctifs dans l’appréciation des conclusions des experts du dénonciateur. De toute évidence, s’il entendait se fonder sur l’absence de probabilité statistique d’un certain évènement pour en déduire un manquement disciplinaire à la charge de A______, il appartenait au CSM de désigner un expert neutre et de le charger d’une mission d’expertise définie de manière claire, transparente et objective, sur des bases factuelles avérées. La Présidence de la Cour de Justice avait déjà émis des doutes sérieux sur l’approche statistique adoptée par le dénonciateur, en observant que le second tirage opéré en toute conformité avec la lettre de la loi avait abouti à la constitution d’une nouvelle liste de 35 jurés parmi lesquels se trouvaient au moins huit fonctionnaires, concluant : « Au vu d’un tel nombre, on peut raisonnablement mettre en doute l’affirmation des recourants selon laquelle la probabilité de tirer au sort un jury comportant dix membres de la fonction publique serait inférieure à deux sur un milliard » (détermination au Tribunal fédéral du 11 octobre 2010). Au demeurant, on soulignera que la faible probabilité statistique d’un évènement ne constitue pas en soi la preuve du fait qu’il n’a pas pu survenir. Ainsi, pour prendre un exemple, celui qui joue une grille du loto Euromillions a une chance sur 116 531 800 de tomber sur tous les numéros et étoiles formant la combinaison gagnante. Cette très faible probabilité ne saurait à l’évidence être invoquée comme preuve pour dire que celui qui a effectivement sorti la combinaison gagnante est un tricheur ou un menteur.</w:t>
      </w:r>
    </w:p>
    <w:p>
      <w:r>
        <w:rPr>
          <w:b/>
        </w:rPr>
        <w:t>E. 6</w:t>
      </w:r>
    </w:p>
    <w:p>
      <w:r>
        <w:t>Pour l’ensemble des raisons développées sous chiffre 2 à 5, la décision du Conseil supérieur de la magistrature sera annulée.</w:t>
      </w:r>
    </w:p>
    <w:p>
      <w:r>
        <w:rPr>
          <w:b/>
        </w:rPr>
        <w:t>E. 7</w:t>
      </w:r>
    </w:p>
    <w:p>
      <w:r>
        <w:t>A______, qui obtient gain de cause, se verra allouer des dépens, qui seront mis à la charge de l’Etat de Genève.</w:t>
      </w:r>
    </w:p>
    <w:p>
      <w:r>
        <w:t>***</w:t>
      </w:r>
    </w:p>
    <w:p>
      <w:r>
        <w:t>Page: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