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CAPH/99/2014 vom 23. Juni 2014</w:t>
      </w:r>
    </w:p>
    <w:p>
      <w:r>
        <w:t>GE Cour de justice, 2014-06-23, FR</w:t>
      </w:r>
    </w:p>
    <w:p>
      <w:r>
        <w:rPr>
          <w:b/>
        </w:rPr>
        <w:t xml:space="preserve">Quelle: </w:t>
      </w:r>
      <w:r>
        <w:t>https://mcp.opencaselaw.ch/entscheid/ge_gerichte_CAPH_99_2014</w:t>
      </w:r>
    </w:p>
    <w:p>
      <w:r>
        <w:t>FR: GE_GERICHTE CAPH/99/2014 du 23 juin 2014</w:t>
      </w:r>
    </w:p>
    <w:p>
      <w:r>
        <w:t>IT: GE_GERICHTE CAPH/99/2014 del 23 giugno 2014</w:t>
      </w:r>
    </w:p>
    <w:p>
      <w:pPr>
        <w:pStyle w:val="Heading2"/>
      </w:pPr>
      <w:r>
        <w:t>Erwägungen</w:t>
      </w:r>
    </w:p>
    <w:p>
      <w:r>
        <w:rPr>
          <w:b/>
        </w:rPr>
        <w:t>E. 1</w:t>
      </w:r>
    </w:p>
    <w:p>
      <w:r>
        <w:t>La décision entreprise constitue une décision finale rendue dans une cause patrimoniale dont la valeur litigieuse est, compte tenu de la somme de 4'577 fr. 60 réclamée en première instance par la recourante à sa partie adverse, inférieure à 10'000 fr., de sorte que seule la voie du recours est ouverte (art. 308 al. 2 et 319 let. a CPC).</w:t>
      </w:r>
    </w:p>
    <w:p>
      <w:r>
        <w:t>- 4/7 -</w:t>
      </w:r>
    </w:p>
    <w:p>
      <w:r>
        <w:t>C/1446/2014-3 Interjeté auprès de l'autorité compétente (art. 120 al. 1 let. a LOJ), dans le délai utile de 10 jours (art. 321 al. 2 CPC) - les décisions rendues en matière de cas clair étant soumise à la procédure sommaire (art. 257 al. 1 CPC) - et selon la forme prescrite par la loi (art. 130, 131, 321 al. 1 et 3 CPC), le recours est recevable.</w:t>
      </w:r>
    </w:p>
    <w:p>
      <w:r>
        <w:rPr>
          <w:b/>
        </w:rPr>
        <w:t>E. 2</w:t>
      </w:r>
    </w:p>
    <w:p>
      <w:r>
        <w:t>S'agissant d'un recours, le pouvoir d'examen de la Cour de céans est limité à la violation du droit et à la constatation manifestement inexacte des faits (art. 320 CPC).</w:t>
      </w:r>
    </w:p>
    <w:p>
      <w:r>
        <w:rPr>
          <w:b/>
        </w:rPr>
        <w:t>E. 3</w:t>
      </w:r>
    </w:p>
    <w:p>
      <w:r>
        <w:t>La recourante fait grief aux premiers juges d'avoir violé l'art. 257 CPC en retenant que les conditions du cas clair n'étaient pas réunies.</w:t>
      </w:r>
    </w:p>
    <w:p>
      <w:r>
        <w:rPr>
          <w:b/>
        </w:rPr>
        <w:t>E. 3.1</w:t>
      </w:r>
    </w:p>
    <w:p>
      <w:r>
        <w:t>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w:t>
      </w:r>
    </w:p>
    <w:p>
      <w:r>
        <w:t>3.2.1 En l'espèce, les parties sont liées par un contrat de travail, fixant 42 heures de travail hebdomadaire, pour lequel un salaire mensuel brut de 3'200 fr. de</w:t>
      </w:r>
    </w:p>
    <w:p>
      <w:r>
        <w:t>- 5/7 -</w:t>
      </w:r>
    </w:p>
    <w:p>
      <w:r>
        <w:t>C/1446/2014-3 février à avril 2013 et de 3'400 fr. de mai à novembre 2013 a été convenu entre les parties. Il n'est pas contesté que la recourante n'a perçu ni plus ni moins que les salaires susmentionnés. Par conséquent, les faits pertinents pour l'issue du litige ne sont pas litigieux. 3.2.2 L’employeur paie au travailleur le salaire convenu, usuel ou fixé par un contrat-type de travail ou par une convention collective (art. 322 al. 1 CO). Sauf accord contraire, le contrat-type de travail s’applique directement aux rapports de travail qu’il régit (art. 360 al. 1 CO). Le contrat-type peut prévoir que les accords dérogeant à certaines de ses dispositions doivent être passés en la forme écrite (al. 2). Le contrat-type déploie un effet direct. Il s'applique même si les parties ne s'y réfèrent pas dans le contrat individuel (AUBERT, Code des obligations I, Commentaire romand, 2003, n. 1 ad art. 360 CO). En tant qu'il fixe des salaires minimaux, le contrat-type revêt un caractère relativement impératif (art. 360d al. 2 CO), ce qui signifie qu'il ne peut pas y être dérogé au détriment du travailleur (AUBERT, op. cit., n. 3 ad art. 360 CO). La Chambre des relations collectives de travail a édicté un contrat-type de travail du commerce de détail (CTT-CD) qui est entré en vigueur le 1er février 2013. Ce contrat-type est applicable aux travailleurs et travailleuses occupés, dans les entreprises actives dans le commerce de détail dans le canton de Genève, en qualité de personnel de vente et exerçant leur activité principale sur le lieu de vente, qu'il s'agisse de personnel de vente fixe à plein temps, à temps partiel ou de personnel de vente temporaire (art. 1 al. 1 CTT-CD). Il fixe un salaire minimum annuel brut pour une durée de travail hebdomadaire de 42 heures à 44'880 fr. par an pour un employé sans CFC (art. 2 al. 1 CTT-DC), soit 3'740 fr. brut par mois, ce salaire ayant un caractère impératif au sens de l'article 360a CO (art. 2 al. 3 CTT-CD). Dans son courrier du 21 décembre 2013 l'intimée a uniquement fait valoir qu'elle n'était pas liée par une Convention collective de travail l'obligeant à rémunérer la recourante au-delà du salaire convenu entre les parties. Or, cet argument est sans pertinence puisque la recourante se prévaut de l'existence d'un contrat-type de travail et non d'une convention collective. Dès lors, que l'intimée n'a pas contesté que la recourante exerçait une activité de vendeuse dans un commerce de détail et que le CTT-CD trouvait application le premier juge ne pouvait pas considérer, sans entendre l'intimée, que l'état de fait était litigieux.</w:t>
      </w:r>
    </w:p>
    <w:p>
      <w:r>
        <w:t>- 6/7 -</w:t>
      </w:r>
    </w:p>
    <w:p>
      <w:r>
        <w:t>C/1446/2014-3</w:t>
      </w:r>
    </w:p>
    <w:p>
      <w:r>
        <w:rPr>
          <w:b/>
        </w:rPr>
        <w:t>E. 3.3</w:t>
      </w:r>
    </w:p>
    <w:p>
      <w:r>
        <w:t>Au vu de ce qui précède, tant les faits que la situation juridique sont parfaitement clairs s'agissant des salaires de février à novembre 2013, seules prétentions restées litigieuses dans le cadre du présent recours, la recourante ayant renoncé à ses prétentions en paiement des quatre jours de congé non pris en nature. Par conséquent, les conditions permettant l'application de la procédure prévue à l'art. 257 al. 1 CPC étaient dès lors réalisées. Le recours devra donc être admis en tant qu'il a déclaré irrecevables les prétentions de l'appelante s'agissant des salaires de février à novembre 2013.</w:t>
      </w:r>
    </w:p>
    <w:p>
      <w:r>
        <w:rPr>
          <w:b/>
        </w:rPr>
        <w:t>E. 4</w:t>
      </w:r>
    </w:p>
    <w:p>
      <w:r>
        <w:t>Si elle admet le recours, l'instance de recours peut, après avoir annulé la décision litigieuse, renvoyer la cause à l'instance précédente ou rendre une nouvelle décision si la cause est en état d'être jugée (art. 327 al. 3 let. a et b CPC). En l'espèce, les premiers juges ont déclaré la requête de la recourante irrecevable, de sorte qu'ils ne se sont pas prononcés sur les prétentions de la travailleuse. A cela s'ajoute que l'intimée ne s'est exprimée ni devant les premiers juges ni devant la Cour de céans. Aussi, pour garantir le droit d'être entendue de l'intimée et le respect du principe de double degré de juridiction, dans la mesure où il n'a pas été statué sur un élément essentiel de la demande, la cause sera renvoyée au Tribunal pour qu'il rende une nouvelle décision, dans le sens des considérants.</w:t>
      </w:r>
    </w:p>
    <w:p>
      <w:r>
        <w:rPr>
          <w:b/>
        </w:rPr>
        <w:t>E. 5</w:t>
      </w:r>
    </w:p>
    <w:p>
      <w:r>
        <w:t>La valeur litigieuse étant inférieure à 30'000 fr., la procédure est gratuite (art. 114 let. c CPC). Il n'est pas alloué de dépens (art. 22 al. 2 LaCC). * * * * *</w:t>
      </w:r>
    </w:p>
    <w:p>
      <w:r>
        <w:t>- 7/7 -</w:t>
      </w:r>
    </w:p>
    <w:p>
      <w:r>
        <w:t>C/1446/2014-3</w:t>
      </w:r>
    </w:p>
    <w:p>
      <w:r>
        <w:t>PAR CES MOTIFS, La Chambre des prud'hommes, groupe 3 : À la forme : Déclare recevable le recours formé le 20 février 2014 par A______ contre le jugement JTPH/46/2014 rendu le 11 février 2014 par le Tribunal des prud'hommes. Au fond : Annule ce jugement. Renvoie la cause au Tribunal des prud'hommes pour nouvelle décision. Déboute les parties de toutes autres conclusions. Siégeant : Madame Nathalie LANDRY-BARTHE, présidente, Monsieur Guido AMBUHL, juge employeur, Monsieur Michel DE COTE, juge salarié, Madame Véronique BULUNDWE-LEVY, greffière.</w:t>
      </w:r>
    </w:p>
    <w:p>
      <w:r>
        <w:t>Indication des voies de recours et valeur litigieuse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