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CAPH/99/2009 vom 24. Juni 2009</w:t>
      </w:r>
    </w:p>
    <w:p>
      <w:r>
        <w:t>GE Cour de justice, 2009-06-24, FR</w:t>
      </w:r>
    </w:p>
    <w:p>
      <w:r>
        <w:rPr>
          <w:b/>
        </w:rPr>
        <w:t xml:space="preserve">Quelle: </w:t>
      </w:r>
      <w:r>
        <w:t>https://mcp.opencaselaw.ch/entscheid/ge_gerichte_CAPH_99_2009</w:t>
      </w:r>
    </w:p>
    <w:p>
      <w:r>
        <w:t>FR: GE_GERICHTE CAPH/99/2009 du 24 juin 2009</w:t>
      </w:r>
    </w:p>
    <w:p>
      <w:r>
        <w:t>IT: GE_GERICHTE CAPH/99/2009 del 24 giugno 2009</w:t>
      </w:r>
    </w:p>
    <w:p>
      <w:pPr>
        <w:pStyle w:val="Heading2"/>
      </w:pPr>
      <w:r>
        <w:t>Regeste</w:t>
      </w:r>
    </w:p>
    <w:p>
      <w:r>
        <w:t>Résumé: La Cour confirme un jugement de première instance admettant l'existence d'un contrat de travail entre T___ et E___. La Cour considère que les éléments documentaires supplémentaires dont la teneur a été confirmée par l'appelante corroborent l'appréciation des premiers juges. En effet, l'attestation de travail versée en première instance est d'autant plus crédible qu'il apparaît peu probable qu'il ait fallu autant de temps qu'en a mis l'appelante pour se déterminer sur l'existence ou non de ce document dont elle apparaissait être la signataire, alors qu'elle en était requise par un tiers (soit plus d'un mois plus tard). Dès lors qu'il a été admis que l'attestation en question émanait bien de l'appelante, il y a lieu de retenir que la rémunération annuelle contenue dans cette dernière correspond à la rémunération due à l'intimé, soit un salaire mensuel de fr. 20'000.-. Dans ces circonstances, il n'y a pas lieu de rechercher un éventuel salaire usuel au sens de l'art. 320 al. 2 CO.</w:t>
      </w:r>
    </w:p>
    <w:p>
      <w:pPr>
        <w:pStyle w:val="Heading2"/>
      </w:pPr>
      <w:r>
        <w:t>Erwägungen</w:t>
      </w:r>
    </w:p>
    <w:p>
      <w:r>
        <w:rPr>
          <w:b/>
        </w:rPr>
        <w:t>E. 1.1</w:t>
      </w:r>
    </w:p>
    <w:p>
      <w:r>
        <w:t>Interjeté dans la forme et le délai prévus par la loi (art. 59 de la loi sur la Juri- diction des prud’hommes ; ci-après LJP), l’appel est recevable.</w:t>
      </w:r>
    </w:p>
    <w:p>
      <w:r>
        <w:rPr>
          <w:b/>
        </w:rPr>
        <w:t>E. 2</w:t>
      </w:r>
    </w:p>
    <w:p>
      <w:r>
        <w:t>L’appelant conteste l'existence même d'un contrat de travail.</w:t>
      </w:r>
    </w:p>
    <w:p>
      <w:r>
        <w:rPr>
          <w:b/>
        </w:rPr>
        <w:t>E. 2.1</w:t>
      </w:r>
    </w:p>
    <w:p>
      <w:r>
        <w:t>Le contrat de travail – lequel peut être conclu expressément ou par actes concluants - présuppose l’obligation pour le travailleur de fournir une prestation de travail dans un temps mis à disposition de l’employeur, moyennant paiement d’un salaire (art. 319 CO).</w:t>
      </w:r>
    </w:p>
    <w:p>
      <w:r>
        <w:t>Juridiction des prud’hommes</w:t>
      </w:r>
    </w:p>
    <w:p>
      <w:r>
        <w:t>Cause n° C/22570/2006 - 4 12</w:t>
      </w:r>
    </w:p>
    <w:p>
      <w:r>
        <w:t>* COUR D’APPEL *</w:t>
      </w:r>
    </w:p>
    <w:p>
      <w:r>
        <w:t>Lorsque les parties n'ont conclu ni expressément ni tacitement de contrat de travail, la cause doit être examinée la lumière de l'article 320 al. 2 CO. A teneur de cette disposition légale, le contrat est réputé conclu lorsque l'employeur accepte pour un temps donné l'exécution d'un travail qui, d'après les circonstances, ne doit être fourni que contre un salaire. L'acceptation d'un travail aux conditions posées ci-dessus entraîne la présomption irréfragable de l'existence d'un contrat de travail. Dès que les conditions de l'art. 320 al. 2 CO sont objectivement réunies, la cause du travail fourni est présumée être le contrat de travail et non un autre rapport de droit. Ainsi entendu, l'art. 320 al. 2 CO permet d'apporter, en équité, un tempérament à la rigueur de la situation de celui qui n'a pas réclamé de salaire parce qu'il comptait être rétribué ultérieurement d'une autre manière et qui voit déçue cette attente légitime à la suite d'un évènement imprévu (ATF 95 I 131; 90 II 443; Oser/Schönenberger, Comm. N° 3 à 6 ad art. 320; Brühwiler, Comm. N° 12 ad art. 320 CO; Brunner/Buhler/Waeber, Comm. N° 14 ad art. 320 CO).</w:t>
      </w:r>
    </w:p>
    <w:p>
      <w:r>
        <w:rPr>
          <w:b/>
        </w:rPr>
        <w:t>E. 2.2</w:t>
      </w:r>
    </w:p>
    <w:p>
      <w:r>
        <w:t>Le travailleur n'a pas à prouver la conclusion d'un tel contrat. Il peut se préva- loir de la présomption irréfragable de l'art. 320 al. 2 CO, qui s'applique même si la preuve de la conclusion d'un contrat de travail (i. e. par un échange de volontés) n'a pas été apportée ( ATF 4C.419/1999 du 19. 4. 2000 cons. 1c re SIG; ATF SJ 1986 p. 290; 4C. 346/1999 du 4. 2. 2000 cons. 2; Rehbinder, Berner Kommentar, 1983, N. 17 ad art. 320 CO).</w:t>
      </w:r>
    </w:p>
    <w:p>
      <w:r>
        <w:t>Cela dit, la Cour examine d'office sur compétence matérielle; cela l'amène à exa- miner d'office la présence ou l'absence d'éléments permettant de retenir l'existence d'un contrat de travail. Elle n'est pas liée par la qualification faite ou proposée par les parties (ATF 4C.135/2000 du 1. 9. 2000, cons.3 b in fine).</w:t>
      </w:r>
    </w:p>
    <w:p>
      <w:r>
        <w:rPr>
          <w:b/>
        </w:rPr>
        <w:t>E. 2.3</w:t>
      </w:r>
    </w:p>
    <w:p>
      <w:r>
        <w:t>Le critère central dans la définition du contrat de travail, et partant, dans sa dé- limitation par rapports à d'autres contrats de services, est l'existence d'un lien de subordination juridique entre prestataire de service et donneur d'ordre (ATF 121 I 259: ATF JAR 1998 p. 104; 107 II 430; 95 I 21; 78 II 361; Rehbinder, BK, N. 18 ad art. 319 CO).</w:t>
      </w:r>
    </w:p>
    <w:p>
      <w:r>
        <w:t>L'existence d'un lien de subordination juridique se déduit d'un ensemble d'indices, tels que la dépendance du prestataire de service du donneur d'ordre du point de vue personnel, organisationnel et temporel (ATF 121 I 259).</w:t>
      </w:r>
    </w:p>
    <w:p>
      <w:r>
        <w:t>Juridiction des prud’hommes</w:t>
      </w:r>
    </w:p>
    <w:p>
      <w:r>
        <w:t>Cause n° C/22570/2006 - 4 13</w:t>
      </w:r>
    </w:p>
    <w:p>
      <w:r>
        <w:t>* COUR D’APPEL *</w:t>
      </w:r>
    </w:p>
    <w:p>
      <w:r>
        <w:t>Le rapport de subordination revêt une importance primordiale dans la qualifica- tion du contrat de travail. Il présuppose que le travailleur est soumis à l’autorité de l’employeur pour l’exécution du contrat, et cela au triple point de vue personnel, fonctionnel et économique. La dépendance personnelle réside en ceci que le tra- vailleur s’engage à développer une activité dont la nature, l’importance, les moda- lités et l’exécution ne sont souvent déterminées que de manière très générale dans le contrat de travail et doivent être précisées et concrétisées par le biais d’informations et d’instructions particulières, données au fil du temps par l’employeur. Le travailleur s’engage ainsi à respecter les instructions et avis de l’employeur, et à se soumettre aux mesures de supervision que celui-ci ordonne. La notion de rapport fonctionnel implique le fait que le travailleur est incorporé dans l’entreprise de l’employeur et se voit attribuer une position déterminée au sein de son organisation. La dépendance économique réside, quant à elle, en ceci que le salaire permet au travailleur d’assurer sa subsistance (SJ 1990, p. 185 ; Staehelin, Zürcher Kommentar, n. 27 à 30 ad art. 319 CO ; Aubert, in Code des obligations I, Commentaire romand, 2003, §§ 6 à 13 ad art. 319 CO, p. 1674s. ; Rehbinder, Schweizerisches Arbeitsrecht, 1988, p. 30, ch. 2).</w:t>
      </w:r>
    </w:p>
    <w:p>
      <w:r>
        <w:t>L’existence du rapport de dépendance et de subordination doit être appréciée à la lumière de faits matériels et de critères formels. Les premiers sont notamment l’intensité du devoir d’obéissance, l’obligation de respecter des horaires prédéfi- nis, l’éventuelle autorisation d’accomplir sa prestation en un lieu donné, sans que celui-ci ne soit imposé par la nature de la prestation, l’accomplissement de tâches en collaboration avec d’autres employés et l’accomplissement d’une activité su- bordonnée qui, par nature, implique une occupation dépendante. Les indices for- mels sont notamment la qualification du contrat de contrat individuel de travail, le mode de rémunération appliqué et le fait d’avoir procédé aux déductions légales usuelles, tant sociales que fiscales (Rehbinder, op. cit., n. 47, p. 40).</w:t>
      </w:r>
    </w:p>
    <w:p>
      <w:r>
        <w:t>Le critère de la subordination doit cependant être relativisé pour les employés de professions typiquement libérales ou pour les cadres dirigeants. En effet, dans ces situations, l’activité fournie par le travailleur s’exerce plus librement. Seule de- meure en l’occurrence une subordination purement organisationnelle du travail-</w:t>
      </w:r>
    </w:p>
    <w:p>
      <w:r>
        <w:t>Juridiction des prud’hommes</w:t>
      </w:r>
    </w:p>
    <w:p>
      <w:r>
        <w:t>Cause n° C/22570/2006 - 4 14</w:t>
      </w:r>
    </w:p>
    <w:p>
      <w:r>
        <w:t>* COUR D’APPEL *</w:t>
      </w:r>
    </w:p>
    <w:p>
      <w:r>
        <w:t>leur aux directives de l’employeur (CAPH du 11 septembre 1996 en la cause X/1326/95 ; Rehbinder, Berner Kommentar, n. 42 ad art. 319 CO, p. 47).</w:t>
      </w:r>
    </w:p>
    <w:p>
      <w:r>
        <w:t>Un indice en faveur de l’existence d’un contrat de travail peut également être trouvé dans le fait que le créancier déduit les cotisations sociales de la rémunéra- tion due au travailleur et les ajoute à ses propres prestations patronales versées aux assurances sociales (ATF du 6 mars 2000 en la cause 4C.331/1999). De même, les clauses prévoyant un délai de congé, des vacances, un salaire en cas de maladie ou une interdiction de concurrence sont considérées comme typiques du contrat de travail (AUBERT, op. cit., § 19 ad art. 319 CO, p. 1676 ; cf. ég. WYLER, op. cit., p. 43 et suivantes).</w:t>
      </w:r>
    </w:p>
    <w:p>
      <w:r>
        <w:t>Pour apprécier la forme et les clauses d’un contrat, le juge doit rechercher, dans un premier temps, la réelle et commune intention des parties (art. 18 al. 1er CO), le cas échéant empiriquement, sur la base d’indices; cette recherche débouchera sur une constatation de fait. S’il ne parvient pas à établir avec sûreté cette volonté effective, ou s’il constate que l’un des contractants n’a pas compris la volonté ré- elle exprimée par l’autre, il recherchera le sens que les parties pouvaient et de- vaient donner, selon les règles de la bonne foi, à leurs manifestations de volonté réciproques ; il résoudra ainsi une question de droit (application du principe de la confiance ; ATF 125 III 435, consid. 2a ; ATF 122 III 118, consid. 2a ; ATF 118 II 342, consid. 1a ; ATF 112 II 245, consid. II/1c).</w:t>
      </w:r>
    </w:p>
    <w:p>
      <w:r>
        <w:rPr>
          <w:b/>
        </w:rPr>
        <w:t>E. 3.1</w:t>
      </w:r>
    </w:p>
    <w:p>
      <w:r>
        <w:t>Les premiers juges ont d'abord retenu que l'intimé occupait un bureau dans les locaux de l'appelante et qu'il y avait une adresse courriel au même format que ce- lui utilisé par cette dernière. Ils ont aussi retenu la présence de l'intimé à des ré- unions professionnelles concernant les projets de l'appelante. Pour les premiers juges l'envoi de courriels de l'intimé à l'appelante relatifs à des affaires aéronauti- ques et la vente d'une île qui indique explicitement que l'intimé intervient pour A___ montrent que l'intimé intervenait dans le but de permettre à l'appelante d'ac- quérir de nouveaux clients</w:t>
      </w:r>
    </w:p>
    <w:p>
      <w:r>
        <w:t>Toujours selon les premiers juges, les enquêtes ont également permis d'établir que l'intimé a accompagné A___ dans des rendez-vous extérieurs, plusieurs témoins ayant par ailleurs déclarés qu'ils avaient eu le sentiment que l'intimé travaillait sous la direction de celui-ci ou qu'il était employé de la société. Ils ont aussi relevé</w:t>
      </w:r>
    </w:p>
    <w:p>
      <w:r>
        <w:t>Juridiction des prud’hommes</w:t>
      </w:r>
    </w:p>
    <w:p>
      <w:r>
        <w:t>Cause n° C/22570/2006 - 4 15</w:t>
      </w:r>
    </w:p>
    <w:p>
      <w:r>
        <w:t>* COUR D’APPEL *</w:t>
      </w:r>
    </w:p>
    <w:p>
      <w:r>
        <w:t>qu'à deux reprises l'intimé avait remis sa carte de visite à l'entête de l'appelante en présence de A___ sans que celui-ci ne réagisse. A___ avait en outre à une reprise présenté l'intimé à un client comme l'avocat de la société. Il avait aussi désigné l'intimé comme "legal counsel" de l'appelante dans un courriel adressé à B___.</w:t>
      </w:r>
    </w:p>
    <w:p>
      <w:r>
        <w:t>Pour les premiers juges, l'ensemble de ces éléments corroborent l'attestation selon laquelle l'intimé était le "legal counsel" de l'appelante avec un salaire annuel moyen d'environ fr. 240'000.-, les allégations de l'appelante selon lesquelles l'in- timé aurait piraté son système informatique et redirigé des courriels n'étant étayées par aucun élément de preuve.</w:t>
      </w:r>
    </w:p>
    <w:p>
      <w:r>
        <w:t>Les premiers juges ont enfin considéré que la crédibilité des déclarations de G___, consultant au service de l'appelante, selon lesquelles l'intimé n'était qu'occasion- nellement présent dans les locaux de l'entreprise était sujette à caution.</w:t>
      </w:r>
    </w:p>
    <w:p>
      <w:r>
        <w:rPr>
          <w:b/>
        </w:rPr>
        <w:t>E. 3.2</w:t>
      </w:r>
    </w:p>
    <w:p>
      <w:r>
        <w:t>La Cour fera sienne cette appréciation qui se fonde sur des enquêtes approfon- dies. L'appelante n'a apporté aucun autre élément probant propre à remettre en cause cette appréciation. Certes, elle persiste à contester que A___ soit l'auteur de l'attestation du 7 mars 2006 certifiant que l'intimé est le conseil légal de l'appe- lante pour une rémunération annuelle de fr. 240'000.-.</w:t>
      </w:r>
    </w:p>
    <w:p>
      <w:r>
        <w:t>A ce sujet, A___ a confirmé être l'auteur des courriels des 12 mai et 14 juin 2006 versés à la procédure en appel par l'intimé. Il a aussi admis que le contrat men- tionné dans son courriel du 12 mai 2006 à S___ était l'attestation du 7 mars 2006. Selon lui, bien que son courriel du 14 juin 2006 ne se réfère pas explicitement à un contact téléphonique entre le 23 mai et le 14 juin, il aurait informé S___ de la teneur de ce dernier courriel avant le 14 juin 2006.</w:t>
      </w:r>
    </w:p>
    <w:p>
      <w:r>
        <w:t>Concernant cet échange de courriels, au demeurant produit à la procédure d'appel par l'intimé, la Cour notera que ni dans son premier courriel du 12 mai 2006 ni dans celui du 14 juin 2006, A___ ne conteste expressément être l'auteur de l'attes- tation du 7 mars 2006. Certes, le 14 juin 2006, il indique que l'intimé n'a jamais été lié par un contrat de travail ou partenaire de l'appelante mais dans le même temps il demande à S___ la confidentialité sur leur échange de courriels.</w:t>
      </w:r>
    </w:p>
    <w:p>
      <w:r>
        <w:t>Juridiction des prud’hommes</w:t>
      </w:r>
    </w:p>
    <w:p>
      <w:r>
        <w:t>Cause n° C/22570/2006 - 4 16</w:t>
      </w:r>
    </w:p>
    <w:p>
      <w:r>
        <w:t>* COUR D’APPEL *</w:t>
      </w:r>
    </w:p>
    <w:p>
      <w:r>
        <w:t>La Cour considère que ces éléments documentaires supplémentaires dont la teneur a été confirmée par l'appelante corroborent l'appréciation des premiers juges tant il apparaît peu crédible qu'il faille attendre autant de temps (dans le cas le plus favo- rable à l’appelante plus de dix jours, mais vraisemblablement un mois) pour se dé- terminer sur l'existence ou non d'une attestation de travail dont on apparaît être le signataire.</w:t>
      </w:r>
    </w:p>
    <w:p>
      <w:r>
        <w:t>Au vu de l'ensemble de ces éléments, la Cour tient pour établi que l'attestation du</w:t>
      </w:r>
    </w:p>
    <w:p>
      <w:r>
        <w:rPr>
          <w:b/>
        </w:rPr>
        <w:t>E. 7</w:t>
      </w:r>
    </w:p>
    <w:p>
      <w:r>
        <w:t>mars 2006 signée par A___ a bien été établie par l'appelante.</w:t>
      </w:r>
    </w:p>
    <w:p>
      <w:r>
        <w:t>4. L'appelante conteste encore le montant du salaire réclamé par l'intimée. Elle considère que les premiers juges auraient dû faire application de l'art. 322 al. CO et fixé le salaire de l'intimé selon l'usage en tenant compte de sa formation, de son expérience et de son âge.</w:t>
      </w:r>
    </w:p>
    <w:p>
      <w:r>
        <w:t>4.1 L’art. 322 al. 1 CO stipule que l’employeur paye au travailleur le salaire convenu, usuel ou fixé par un contrat-type de travail ou par une convention collec- tive. Le montant du salaire, qui peut être fixé d’après le temps ou d’après le travail fourni, dépend ainsi d’abord de l’accord des parties, qu’il résulte directement d’un contrat ou indirectement d’une convention collective ou d’un contrat-type ; il n’existe actuellement pas de fixation générale de traitements minimaux, même si les conventions collectives édictent souvent des règles minimales en la matière.</w:t>
      </w:r>
    </w:p>
    <w:p>
      <w:r>
        <w:t>4.2 Lorsque les parties n’ont rien convenu et que la conclusion d’un contrat de travail n’est pas douteuse selon l’art. 320 al. 2 CO, la rémunération doit corres- pondre à ce qui est « usuel ». On entend par là le salaire qu’il est habituel de ver- ser dans la région et la branche considérée pour des travaux comparables, compte tenu de la situation personnelle des intéressés (âge, situation de famille, formation, etc.) (Rehbinder, op. cit., n° 12, ad. art. 322 CO ; Streiff / von Kaenel, Leitfaden zum Arbeitsvertragsrecht, 5ème édition, n° 7 ad. art. 322 CO). Les conventions collectives de la profession constituent alors un élément de référence, même si el- les ne lient pas les parties (Rehbinder, loc. cit. n° 12 art. 322 CO ; Streiff/von Kaenel, loc. cit. n° 7 ad. 322 CO ; pour la prédominance des conventions collecti-</w:t>
      </w:r>
    </w:p>
    <w:p>
      <w:r>
        <w:t>Juridiction des prud’hommes</w:t>
      </w:r>
    </w:p>
    <w:p>
      <w:r>
        <w:t>Cause n° C/22570/2006 - 4 17</w:t>
      </w:r>
    </w:p>
    <w:p>
      <w:r>
        <w:t>* COUR D’APPEL *</w:t>
      </w:r>
    </w:p>
    <w:p>
      <w:r>
        <w:t>ves cf. Brunner/Bühler/Waeber, Commentaire du contrat de travail, 3ème édition, n° 2 ad. art. 322 CO). Selon Rehbinder (loc. cit. n° 13 ad. art. 322 CO), si un sa- laire usuel ne peut être établi, le juge doit fixer la rémunération selon son pouvoir d’appréciation. Parmi les critères à prendre en considération figurent la qualité et la quantité des prestations de l’employé, ses conditions de travail, son âge, sa si- tuation de famille et sa position dans l’entreprise, ou encore la durée du contrat.</w:t>
      </w:r>
    </w:p>
    <w:p>
      <w:r>
        <w:t>4,3 Les premiers juges ont d'abord relevé que l'intimé avait expliqué que le mon- tant du salaire n'avait pas été chiffré mais devait être confortable et inclure une ré- partition du bénéfice réalisé sur les affaires de l'appelante. Ils ont également ob- servé que l'appelante soutenait n'avoir perçu aucun revenu en 2005 et 2006 alors qu'un courriel du 6 mars 2006 de A___ à L___ faisait état d'un versement de $ 7'600'000.- sur son compte en relation avec un dossier concernant un dénommé M___ dans lequel l'intimé indiquait être intervenu. Les premiers juges ont déduit de la réticence de l'appelante à fournir des informations permettant de calculer les profits réalisés mis en lien avec les autres éléments de la procédure ne pouvait être comprise que comme un aveu que des profits avaient été réalisés comme d’ailleurs le soutenait l'intimé. Le Tribunal des prud'hommes a considéré que le montant du salaire porté dans l'attestation du 7 mars 2006 signée par A___ corres- pondait au salaire convenu.</w:t>
      </w:r>
    </w:p>
    <w:p>
      <w:r>
        <w:t>4.4 La Cour fera également sienne cette appréciation des premiers juges. Dès lors, qu'il a été admis que l'attestation du 7 mars 2006 émanait de A___ pour l'appe- lante, il y a lieu de retenir que la rémunération annuelle contenue dans cette der- nière correspond à la rémunération due à l'intimé, soit un salaire mensuel de fr. 20'000.-. Dans ces circonstances, il n'y a pas lieu de rechercher un éventuel salaire usuel au sens de l'art. 320 al. 2.</w:t>
      </w:r>
    </w:p>
    <w:p>
      <w:r>
        <w:t>Voudrait-on faire application de l'art. 320 al. 2 CO au motif que l'intimé lui-même admet qu'aucun montant précis de rémunération n'avait été convenu à la conclu- sion du contrat que la solution ne serait pas différente, l'appelante n'ayant pas dé- montré que la rémunération figurant dans son attestation du 7 mars 2006 différe- rait de la rémunération usuelle d'un collaborateur juriste ayant une expérience spécifique de plusieurs années acquise au sein d'une commission spécialisée des</w:t>
      </w:r>
    </w:p>
    <w:p>
      <w:r>
        <w:t>Juridiction des prud’hommes</w:t>
      </w:r>
    </w:p>
    <w:p>
      <w:r>
        <w:t>Cause n° C/22570/2006 - 4 18</w:t>
      </w:r>
    </w:p>
    <w:p>
      <w:r>
        <w:t>* COUR D’APPEL *</w:t>
      </w:r>
    </w:p>
    <w:p>
      <w:r>
        <w:t>Nations Unies et au bénéfice de connaissances linguistiques, étant précisé que cette rémunération devait également prendre en considération un intéressement aux résultats de l'entreprise.</w:t>
      </w:r>
    </w:p>
    <w:p>
      <w:r>
        <w:t>5. La valeur litigieuse de la présente cause étant supérieure à 30’000 fr., il se justifie de condamner l'appelante, qui succombe intégralement, à payer la totalité des émoluments de mise au rôle d'appel.</w:t>
      </w:r>
    </w:p>
    <w:p>
      <w:r>
        <w:t>Ainsi, l'émolument d'appel de fr. 4'400.- versés par l'appelante reste acquis à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