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CAPH/93/2015 vom 17. Juni 2014</w:t>
      </w:r>
    </w:p>
    <w:p>
      <w:r>
        <w:t>GE Cour de justice, 2014-06-17, FR</w:t>
      </w:r>
    </w:p>
    <w:p>
      <w:r>
        <w:rPr>
          <w:b/>
        </w:rPr>
        <w:t xml:space="preserve">Quelle: </w:t>
      </w:r>
      <w:r>
        <w:t>https://mcp.opencaselaw.ch/entscheid/ge_gerichte_CAPH_93_2015</w:t>
      </w:r>
    </w:p>
    <w:p>
      <w:r>
        <w:t>FR: GE_GERICHTE CAPH/93/2015 du 17 juin 2014</w:t>
      </w:r>
    </w:p>
    <w:p>
      <w:r>
        <w:t>IT: GE_GERICHTE CAPH/93/2015 del 17 giugno 2014</w:t>
      </w:r>
    </w:p>
    <w:p>
      <w:pPr>
        <w:pStyle w:val="Heading2"/>
      </w:pPr>
      <w:r>
        <w:t>Erwägungen</w:t>
      </w:r>
    </w:p>
    <w:p>
      <w:r>
        <w:rPr>
          <w:b/>
        </w:rPr>
        <w:t>E. 1.1</w:t>
      </w:r>
    </w:p>
    <w:p>
      <w:r>
        <w:t>Les jugements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66'055 fr. La voie de l'appel est ainsi ouverte.</w:t>
      </w:r>
    </w:p>
    <w:p>
      <w:r>
        <w:rPr>
          <w:b/>
        </w:rPr>
        <w:t>E. 1.2</w:t>
      </w:r>
    </w:p>
    <w:p>
      <w:r>
        <w:t>Interjeté contre une décision finale (art. 308 al. 1 let. a CPC), auprès de l'autorité compétente (art. 124 let. a LOJ), dans le délai utile de 30 jours (art. 142 al. 1 et 145 al. 1 let. b CPC) et selon la forme prescrite par la loi (art. 130 al. 1, 131 et 311 al. 1 CPC) l'appel est recevable.</w:t>
      </w:r>
    </w:p>
    <w:p>
      <w:r>
        <w:t>- 8/17 -</w:t>
      </w:r>
    </w:p>
    <w:p>
      <w:r>
        <w:t>C/16893/2013-5</w:t>
      </w:r>
    </w:p>
    <w:p>
      <w:r>
        <w:rPr>
          <w:b/>
        </w:rPr>
        <w:t>E. 1.3</w:t>
      </w:r>
    </w:p>
    <w:p>
      <w:r>
        <w:t>La Cour revoit la cause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w:t>
      </w:r>
    </w:p>
    <w:p>
      <w:r>
        <w:rPr>
          <w:b/>
        </w:rPr>
        <w:t>E. 2.2</w:t>
      </w:r>
    </w:p>
    <w:p>
      <w:r>
        <w:t>En l'espèce, les appelants produisent à l'appui de leur écriture une déclaration sous serment de D______ établie au Panama le 14 mai 2014, soit cinq jours avant la date laquelle le Tribunal a gardé la cause à juger. Il n'apparaît pas nécessaire de déterminer si, compte tenu de la distance et des moyens de communication à leur disposition, les appelants auraient pu produire cette déclaration devant le Tribunal, comme ils s'étaient proposés de le faire. En effet, dans son ordonnance du 1er avril 2014, le Tribunal a rejeté le recours à un tel moyen de preuve et réservé l'audition de la personne concernée par voie de commission rogatoire. A supposer que les appelants n'aient pas été matériellement en mesure de produire la déclaration susvisée devant le Tribunal, il leur incombait néanmoins de requérir l'ordonnance de commission rogatoire afin de recueillir le témoignage en question. Or, en l'espèce, les appelants n'établissent pas ni n'allèguent avoir formé une telle requête. A teneur des procès-verbaux établis, ils ont uniquement persisté dans leurs conclusions lors des plaidoiries finales du 19 mai 2014. Les appelants, qui ne critiquent pas le motif pour lequel le Tribunal a rejeté leur offre de preuve, ne sauraient aujourd'hui contourner la décision du Tribunal ou pallier le fait qu'ils ont renoncé à l'audition du témoin concerné par voie de commission rogatoire, en produisant spontanément une déclaration écrite dudit témoin à l'appui de leur appel. Il s'ensuit que la pièce nouvelle produite par les appelants est irrecevable; son contenu sera par conséquent ignoré.</w:t>
      </w:r>
    </w:p>
    <w:p>
      <w:r>
        <w:rPr>
          <w:b/>
        </w:rPr>
        <w:t>E. 3</w:t>
      </w:r>
    </w:p>
    <w:p>
      <w:r>
        <w:t>Les appelants reprochent en premier lieu au Tribunal d'avoir retenu qu'ils étaient liés à l'intimée par un contrat de travail.</w:t>
      </w:r>
    </w:p>
    <w:p>
      <w:r>
        <w:rPr>
          <w:b/>
        </w:rPr>
        <w:t>E. 3.1.1</w:t>
      </w:r>
    </w:p>
    <w:p>
      <w:r>
        <w:t>Par le contrat de travail, le travailleur s'engage, pour une durée déterminée ou indéterminée, à travailler au service de l'employeur et celui-ci à payer un salaire fixé d'après le temps ou le travail fourni (art. 319 al. 1er CO).</w:t>
      </w:r>
    </w:p>
    <w:p>
      <w:r>
        <w:t>- 9/17 -</w:t>
      </w:r>
    </w:p>
    <w:p>
      <w:r>
        <w:t>C/16893/2013-5 Les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STREIFF/VON KAENEL/RUDOLPH, Arbeitsvertrag, Praxiskommentar zu Art. 319-362 OR, 7. Aufl., 2012, n. 2 ad art. 319 CO; AUBERT, in Code des obligations I, Commentaire romand, 2e éd., 2012, n. 1 ad art. 319 CO; WYLER, Droit du travail, 2e éd. 2008, p. 57 ss). Le lien de subordination constitue le critère distinctif essentiel (ATF 125 III 78 consid. 4; STAEHELIN, Zürcher Kommentar, 4ème éd. 2006, n° 26 ad art. 319 CO; WITZIG, La subordination dans le contrat de travail, in SJ 2015 II p. 39 ss, p. 53). Le travailleur est placé dans la dépendance de l'employeur sous l'angle personnel, fonctionnel, temporel, et dans une certaine mesure, économique (arrêt du Tribunal fédéral 4A_553/2008 du 9 février 2009 consid. 4.1; ATF 121 I 259 consid. 3a; STAEHELIN, op. cit., n° 26 ad art. 319 CO; REHBINDER/STÖCKLI, Berner Kommentar, 2010, n° 42 ad art. 319 CO). En pratique, les aspects caractéristiques de la subordination ne sont pas toujours tous réunis au même degré. Pour mesurer leur rôle, on se fonde sur l'image globale que présente l'intégration de l'intéressé dans l'entreprise (ATF 130 III 213 consid. 2.1; AUBERT, op. cit., n. 7 ss ad art. 319 CO; WYLER, op. cit., p. 58). Le salaire est également typique du contrat de travail. Calculé le plus souvent d'après le temps, il illustre le fait que la rémunération est versée en contrepartie du temps mis par le travailleur à la disposition de l'employeur. Sous réserve de l'art. 320 al. 2 CO, il n'y a pas de contrat de travail lorsque la personne qui déploie l'activité entend agir à titre gratuit (arrêt du Tribunal fédéral 4P.194/2004 du 24 novembre 2004 consid. 2.3; AUBERT, op. cit., n. 14 s. ad art. 319 CO). Il existe en effet des cas de pure complaisance ne créant pas de liens contractuels, tels que des liens d'amitié (WYLER, op. cit.,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w:t>
      </w:r>
    </w:p>
    <w:p>
      <w:r>
        <w:rPr>
          <w:b/>
        </w:rPr>
        <w:t>E. 3.1.2</w:t>
      </w:r>
    </w:p>
    <w:p>
      <w:r>
        <w:t>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L'art. 320 al. 2 CO institue une exception au principe selon lequel un contrat ne naît que par la volonté des parties de se lier sur le plan juridique (cf. art. 1 CO). Pour protéger la partie qui accomplit une prestation de service, l'art. 320 al. 2 CO</w:t>
      </w:r>
    </w:p>
    <w:p>
      <w:r>
        <w:t>- 10/17 -</w:t>
      </w:r>
    </w:p>
    <w:p>
      <w:r>
        <w:t>C/16893/2013-5 reconnaît la figure du contrat de fait, dont l'existence ne dépend pas de la volonté des intéressés, mais de la situation objective dans laquelle ils se trouvent. Pour qu'un tel contrat existe, il suffit qu'une partie accepte, pour un temps donné, l'exécution d'un travail qui, d'après les circonstances, ne doit être fourni que contre un salaire. Peu importe que les parties ne soient pas convenues de se lier par un contrat de travail; peu importe même qu'elles soient convenues de ne pas se lier par un contrat de travail (AUBERT, op. cit., n. 8 ad art. 320 CO). En pratique, le problème qui se pose avec le plus d'acuité est celui du contrat de travail conclu avec un ressortissant étranger dépourvu d'autorisation de travail. Ayant mis fin à de vives controverses et à de grandes divergences dans la pratique de tribunaux cantonaux, le Tribunal fédéral a posé le principe de la validité d'un tel contrat de travail. Compte tenu des conséquences qu'elle entraînerait (liberté de l'employeur de se dégager de ses obligations sans délai, alors qu'il lui aurait incombé de requérir une autorisation administrative; précarité totale de la situation du travailleur), la nullité serait en effet inappropriée au but visé (cf. ATF 114 II 79, consid. 2; AUBERT, op. cit., n. 4 ad art. 320 CO).</w:t>
      </w:r>
    </w:p>
    <w:p>
      <w:r>
        <w:rPr>
          <w:b/>
        </w:rPr>
        <w:t>E. 3.2</w:t>
      </w:r>
    </w:p>
    <w:p>
      <w:r>
        <w:t>En l'espèce, il est établi que l'intimée a séjourné pendant treize mois au domicile des appelants, auprès desquels ses sœurs avaient précédemment travaillé en qualité de nourrice et d'employée domestique. Son billet d'avion pour venir en Suisse a été payé par les appelants. Ceux-ci admettent que l'intimée a participé aux tâches de la maisonnée durant son séjour; il apparaît que lesdites tâches étaient régies par un planning strict établi par l'appelante. Dans ces conditions, les allégations des appelants selon lesquelles l'intimée aurait été invitée par leurs soins à passer des vacances en Suisse ne sont ni crédibles, ni vraisemblables. En particulier, leurs affirmations selon lesquelles ils auraient accepté de recevoir l'intimée à la demande de sa famille, au motif que celle-ci aurait subi une agression dans son pays d'origine, ne sont pas vérifiées. L'état de fatigue et d'amaigrissement que présentait l'intimée après treize mois passés au domicile des appelants permet au contraire d'exclure que celle-ci ait séjourné auprès de ceux-ci pour des vacances ou pour un rétablissement. Il faut dans ces conditions admettre que l'intimée est venue en Suisse pour y travailler au domicile des appelants, comme ses sœurs avant elle, ce qu'elle a effectivement fait. Contrairement à ce que soutiennent les appelants, le fait que l'intimée ait disposé d'un billet de retour à brève échéance peut notamment s'expliquer par les exigences douanières relatives à son entrée en Suisse, comme l'a retenu le Tribunal, et ce quand bien même cette explication n'aurait pas été spontanément avancée par l'intimée; on relèvera à ce propos que la maîtrise des formalités douanières devait davantage être le fait des appelants, qui ont acheté le billet d'avion en question et qui avaient dans le passé déjà accueilli les sœurs de l'intimée à leur service. Les appelants indiquent par ailleurs qu'ils employaient deux personnes à leur domicile lors de l'arrivée de l'intimée. Entendue comme témoin, l'une de ces employées a cependant déclaré qu'aucune autre personne ne travaillait pour les</w:t>
      </w:r>
    </w:p>
    <w:p>
      <w:r>
        <w:t>- 11/17 -</w:t>
      </w:r>
    </w:p>
    <w:p>
      <w:r>
        <w:t>C/16893/2013-5 appelants durant la période où l'intimée était là. Ces propos corroborent les allégations de l'intimée selon lesquelles elle aurait remplacé une précédente employée des appelants. L'ampleur des tâches quotidiennes figurant sur le planning indique par ailleurs que celles-ci ne pouvaient que difficilement être assumées par une seule personne. Le fait que l'employée susvisée n'ait pas vu l'intimée travailler lorsqu'elle était présente n'est par ailleurs pas déterminant, elle- même ne se rendant au domicile des appelants que deux jours par semaine. A fortiori, il importe également peu, qu'une amie de l'appelante n'ait pas vu l'intimée dresser ou débarrasser les couverts les quelques fois où elle avait été invitée au domicile des appelants. Au vu de l'ensemble des éléments qui précèdent, il faut admettre que l'intimée a durablement mis l'essentiel de son temps à disposition des appelants, aux fins d'accomplir une activité ménagère et domestique, de sorte que les premiers éléments caractéristiques du contrat de travail doivent être considérés comme réunis. L'existence d'un rapport de subordination entre les parties doit en l'espèce également être admise. Outre la présence du planning strict mentionné ci-dessus, rédigé en espagnol par l'appelante et dont l'essentiel des tâches était manifestement destiné au personnel domestique de la maison (dépendance fonctionnelle), plusieurs témoins ont rapporté que l'intimée ne pouvait pas s'absenter du domicile des appelants, notamment le dimanche, sans autorisation préalable de ceux-ci, bien qu'elle ait disposé d'un jeu de clés (dépendance temporelle). Le fait que l'intimée ait été nourrie et logée par les appelants, comme son absence de maîtrise de la langue française, la plaçait par ailleurs dans une relation de dépendance non négligeable vis-à-vis de ceux-ci (dépendance personnelle). L'appelante se trouvait ainsi dans un rapport de subordination certain vis-à-vis des appelants, de sorte que cet élément caractéristique du contrat de travail est également présent. Il est enfin établi que les appelants ont régulièrement versé à l'intimée une somme de l'ordre de 300 fr. à 400 fr. de main à main et qu'ils ont viré des sommes plus importantes à ses sœurs au Panama lorsque l'intimée se trouvait auprès d'eux. Si la périodicité de ces versements n'était pas exactement mensuelle, il n'est pas douteux que l'addition de ces sommes devait constituer la contrepartie des prestations de travail de l'intimée. L'importance et la fréquence des virements susvisés, ainsi que leur circonscription à la période durant laquelle l'intimée se trouvait auprès des appelants, permet notamment d'exclure qu'il se soit agi de versements à bien plaire, découlant des liens d'amitié entre les appelants et la famille de l'intimée. On ne voit d'ailleurs pas pour quelle raison des frais de téléphone auraient été déduits des sommes versées aux sœurs de l'intimée si tel était le cas. L'ampleur et la durée de l'activité de l'intimée auprès des appelants excluent quant à elles que l'intimée puisse être restée au service des appelants par pure complaisance et à titre gratuit. Il faut au contraire admettre que les appelants ont accepté la fourniture par celle-ci d'un travail qui ne pouvait être fourni que</w:t>
      </w:r>
    </w:p>
    <w:p>
      <w:r>
        <w:t>- 12/17 -</w:t>
      </w:r>
    </w:p>
    <w:p>
      <w:r>
        <w:t>C/16893/2013-5 contre un salaire, dont ils ont tenté de s'acquitter. Ainsi, la présence du dernier élément caractéristique d'un contrat de travail doit également être admise. Les éléments distinctifs du contrat de travail étant tous réunis, c'est à bon droit que les premiers juges ont retenu qu'un tel contrat avait lié les parties.</w:t>
      </w:r>
    </w:p>
    <w:p>
      <w:r>
        <w:rPr>
          <w:b/>
        </w:rPr>
        <w:t>E. 4</w:t>
      </w:r>
    </w:p>
    <w:p>
      <w:r>
        <w:t>Les appelants critiquent également le calcul de la rémunération octroyée à l'intimée par le Tribunal.</w:t>
      </w:r>
    </w:p>
    <w:p>
      <w:r>
        <w:rPr>
          <w:b/>
        </w:rPr>
        <w:t>E. 4.1</w:t>
      </w:r>
    </w:p>
    <w:p>
      <w:r>
        <w:t>L'art. 322 CO prévoit que l'employeur paie au travailleur le salaire convenu, usuel ou fixé par un contrat-type de travail ou par une convention collective (al. 1). Si le travailleur vit dans le ménage de l'employeur, son entretien et son logement font partie du salaire, sauf accord ou usage contraire (al. 2). Le canton de Genève a réglementé l'économie domestique en adoptant un contrat- type de travail (RS Ge J 1 50.03, ci-après : CTT-EDom) qui prévoit des salaires minimaux impératifs. En 2011, un travailleur sans qualification particulière à temps complet avait droit, selon l'article 18 al. 1 let. c CTT en vigueur à cette période, à un salaire minimum de 3'575 fr., constitué de 2'585 fr. en espèces et de 990 fr. en nature pour la nourriture (645 fr.) et le logement (345 fr.). En 2012, ce même travailleur avait droit, selon l'article 10 al. 1 let. c CTT et l'annexe en vigueur à cette période, à un salaire minimum de 3'625 fr., constitué de 2'635 fr. en espèces et de 990 fr. en nature pour la nourriture (645 fr.) et le logement (345 fr.).</w:t>
      </w:r>
    </w:p>
    <w:p>
      <w:r>
        <w:rPr>
          <w:b/>
        </w:rPr>
        <w:t>E. 4.2</w:t>
      </w:r>
    </w:p>
    <w:p>
      <w:r>
        <w:t>A juste titre, les appelants ne critiquent pas en l'espèce le montant de 34'005 fr. brut octroyé à l'intimée par le Tribunal à titre de salaire, correspondant à cinq mois de salaire selon le contrat-type de travail en vigueur en 2011 et huit mois de salaire selon le contrat-type de travail en 2012, sous déduction du logement et de la nourriture fournis en nature ([2'585 fr. x 5] + [2'635 fr. x 8] = 34'005 fr.). Les appelants reprochent au Tribunal d'avoir retenu qu'un salaire total de USD 18'700.- avait déjà été versé à l'intimée, alors que celle-ci n'aurait pas été en mesure d'établir le détail des sommes qui lui ont été remises en main propres, ni de celles versées pour elle à ses sœurs. Les appelants perdent cependant de vue que la somme de USD 18'700.- susvisée, correspondant au total des salaires mensuels de USD 1'400.- et USD 1'500.- dont l'intimée indiquait avoir bénéficié dans sa demande, est supérieure au total des sommes de 300 fr. à 400 fr. par mois que l'intimée admet avoir reçues directement, augmenté de la somme totale de USD 11'731.- que les appelants établissent avoir versées sur les comptes bancaires des sœurs de l'intimée (400 fr. x 13 = 5'200 fr. ; 5'200 fr. + USD 11'731.- = env. USD 16'800.- au taux moyen entre juillet 2011 et août 2012).</w:t>
      </w:r>
    </w:p>
    <w:p>
      <w:r>
        <w:t>- 13/17 -</w:t>
      </w:r>
    </w:p>
    <w:p>
      <w:r>
        <w:t>C/16893/2013-5 La déduction d'une somme de USD 18700.- du total des salaires bruts dus à l'intimée est donc favorable aux appelants et leur appel sera rejeté en tant qu'il porte sur l'octroi à l'intimée d'une somme brute de 34'005 fr. à titre de salaire, sous déduction de USD 18'700 fr. déjà versés.</w:t>
      </w:r>
    </w:p>
    <w:p>
      <w:r>
        <w:rPr>
          <w:b/>
        </w:rPr>
        <w:t>E. 5</w:t>
      </w:r>
    </w:p>
    <w:p>
      <w:r>
        <w:t>Les appelants reprochent également au Tribunal d'avoir alloué à l'intimée une somme brute supplémentaire de 3'903 fr. 25 à titre de rémunération des heures supplémentaires effectuées. 5.1.1 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fardeau de la preuve des heures de travail supplémentaires incombe au travailleur. S'il n'est plus possible de prouver le nombre exact d'heures effectuées, le juge peut appliquer par analogie l'art. 42 al. 2 CO pour en estimer la quotité. La conclusion que ces heures ont réellement été effectuées dans la mesure alléguée doit s'imposer au juge avec une certaine force (arrêts du Tribunal fédéral 4A_419/2011 du 23 novembre 2011 consid. 3.3.1; 4C.141/2006 du 24 août 2006 consid. 4.2.2; cf. ATF 128 III 271 consid. 2b/aa, concernant la preuve du nombre de jours de vacances). 5.1.2 Selon l'article 5 CTT-EDom, la durée de la semaine de travail des travailleurs à temps complet est de 45 heures. La journée de travail effectif des travailleurs à temps partiel ne doit pas dépasser 8 heures. Le travailleur bénéficie d'une pause d'au minimum une demi-heure pour les repas de midi et du soir et d'une pause d'un quart d'heure par demi-journée. Ces pauses ne sont pas comprises dans la durée du travail. Selon l'article 7 al. 1 CTT-EDom, sont réputées heures supplémentaires, les heures accomplies en sus du maximum quotidien ou hebdomadaire.</w:t>
      </w:r>
    </w:p>
    <w:p>
      <w:r>
        <w:rPr>
          <w:b/>
        </w:rPr>
        <w:t>E. 5.2</w:t>
      </w:r>
    </w:p>
    <w:p>
      <w:r>
        <w:t>En l'espèce, le planning horaire établi par les appelants prévoyait pour chaque jour de la semaine, du lundi au samedi, trente-quatre tâches différentes s'échelonnant de 06h40 à 20h10, soit un total de 81 heures hebdomadaires de travail. Le Tribunal a considéré que l'intimée avait travaillé en moyenne 8 heures par jour, 6 jours par semaine, après déduction des pauses et des tâches assumées par l'autre employée de maison, soit un total de 48 heures hebdomadaires. Les appelants, qui reprochent au Tribunal de ne pas avoir tenu compte du fait qu'une partie des tâches susvisées était accomplie par les membres de la famille eux-mêmes, ne démontrent pas quelle quantité de tâches été effectuée par lesdits membres. Sachant que l'autre employée de maison effectuait 16 heures de travail par semaine (à raison de 8 heures par jours, 2 jours par semaine), il paraît douteux que la quantité de travail effectuée par les membres de la famille ait pu excéder le</w:t>
      </w:r>
    </w:p>
    <w:p>
      <w:r>
        <w:t>- 14/17 -</w:t>
      </w:r>
    </w:p>
    <w:p>
      <w:r>
        <w:t>C/16893/2013-5 même nombre de 16 heures par semaine, ce qui laissait effectivement un total d'environ 49 heures de travail à la charge de l'intimée (81 heures – [2 x 16 heures] = 49 heures). Il n'est au surplus pas établi que l'intimée ait pu bénéficier des pauses prévues par le contrat-type de travail, aucune plage n'étant prévue à cet effet dans le planning établi par les appelants. Dans ces conditions, la Cour considère qu'il n'y a pas lieu d'annuler le jugement entrepris en tant qu'il a retenu que l'intimée effectuait 48 heures hebdomadaires de travail, soit trois heures de plus que le maximum prévu par le contrat-type de travail. Le calcul de la rémunération des heures supplémentaires effectué par le Tribunal n'étant pas contesté par les appelants ([3'575 fr. / 195 h. x 3h. x 4.33 semaines x 5 mois] + [3'625 fr. / 195 h. x 3h. x 4.33 semaines x 8 mois] x 125%), le jugement entrepris sera confirmé en tant qu'il a alloué à l'intimée une somme brute de 3'903 fr. 25 à ce titre.</w:t>
      </w:r>
    </w:p>
    <w:p>
      <w:r>
        <w:rPr>
          <w:b/>
        </w:rPr>
        <w:t>E. 6</w:t>
      </w:r>
    </w:p>
    <w:p>
      <w:r>
        <w:t>Les appelants contestent également qu'il puisse être alloué à l'intimée une somme à titre d'indemnisation des vacances non prises en nature.</w:t>
      </w:r>
    </w:p>
    <w:p>
      <w:r>
        <w:rPr>
          <w:b/>
        </w:rPr>
        <w:t>E. 6.1</w:t>
      </w:r>
    </w:p>
    <w:p>
      <w:r>
        <w:t>L'employeur accorde au travailleur, chaque année de service, quatre semaines de vacances au moins (art. 329 al. 1 CO; art. 21 al. 1 CTT-EDom). La loi réglemente les vacances comme un droit contractuel du travailleur à une prestation de la part de l'employeur, et non comme une simple restriction des prestations dues par le travailleur. Il appartient dès lors à l'employeur de prouver le nombre de jours de vacances pris par le travailleur, non pas à ce dernier de prouver les jours de vacances non pris auxquels il avait droit (arrêt du Tribunal fédéral 4A_333/2009 du 3 décembre 2009 consid. 3 avec référence). Tant que durent les rapports de travail, les vacances ne peuvent pas être remplacées par des prestations en argent (art. 329d al. 2 CO). En revanche, lorsque les vacances n'ont pas encore été prises à la fin des rapports contractuels, elles doivent être indemnisées en argent, ladite indemnité étant immédiatement exigible à la fin du contrat de travail (art. 329d al. 2 CO a contrario, art. 339 al. 1 CO; WYLER, op. cit., p. 582) et son ampleur correspondant au salaire pour la durée des vacances non prises; cela revient donc à payer le même salaire une deuxième fois, pour la durée en question (PORTMANN, Basler Kommentar, Obligationenerecht I, 2011, n. 11 ad art. 329d CO).</w:t>
      </w:r>
    </w:p>
    <w:p>
      <w:r>
        <w:rPr>
          <w:b/>
        </w:rPr>
        <w:t>E. 6.2</w:t>
      </w:r>
    </w:p>
    <w:p>
      <w:r>
        <w:t>En l'espèce, les appelants n'établissent pas que l'intimée ait pu bénéficier de vacances en nature durant la période où elle travaillait auprès d'eux. Le seul fait que l'intimée les ait accompagnés, à une reprise au moins, à ______ (France) durant leurs vacances, ne permet pas d'exclure que l'intimée se soit trouvée à leur service durant cette période également, notamment ce qui concerne la prise en charge de leurs enfants, le nettoyage de leur lieu de villégiature ou la préparation des repas.</w:t>
      </w:r>
    </w:p>
    <w:p>
      <w:r>
        <w:t>- 15/17 -</w:t>
      </w:r>
    </w:p>
    <w:p>
      <w:r>
        <w:t>C/16893/2013-5 Par conséquent, c'est à bon droit que le Tribunal a accordé à l'intimée, en sus des sommes dues à titre de salaire et de rémunération des heures supplémentaires, une indemnité pour les vacances non prises en nature. Le calcul de cette indemnité n'étant pas non plus contesté par les appelants ([34'005 fr. + 3'903 fr. 25] x 8.33%), le jugement entrepris doit également être confirmé en tant qu'il a alloué à l'intimée une somme brute de 3'157 fr. 75 à titre d'indemnité pour vacances non prises en nature.</w:t>
      </w:r>
    </w:p>
    <w:p>
      <w:r>
        <w:rPr>
          <w:b/>
        </w:rPr>
        <w:t>E. 6.3</w:t>
      </w:r>
    </w:p>
    <w:p>
      <w:r>
        <w:t>Au vu des motifs qui précèdent, c'est à bon droit que les premiers juges ont condamné les appelants à payer à l'intimée une somme brute totale de 41'066 fr., sous déduction de USD 18'700.- déjà payés. Le chiffre 2 du dispositif sera dès lors intégralement confirmé.</w:t>
      </w:r>
    </w:p>
    <w:p>
      <w:r>
        <w:rPr>
          <w:b/>
        </w:rPr>
        <w:t>E. 7</w:t>
      </w:r>
    </w:p>
    <w:p>
      <w:r>
        <w:t>Les appelants reprochent également aux premiers juges d'avoir mis les frais de la procédure à leur charge, ainsi que de les avoir condamnés à une amende.</w:t>
      </w:r>
    </w:p>
    <w:p>
      <w:r>
        <w:rPr>
          <w:b/>
        </w:rPr>
        <w:t>E. 7.1</w:t>
      </w:r>
    </w:p>
    <w:p>
      <w:r>
        <w:t>L'art. 115 CPC prévoit que les frais judiciaires peuvent, même dans les procédures gratuites, être mis à la charge de la partie qui a procédé de façon téméraire ou de mauvaise foi. L'art. 128 al. 3 CPC prévoit en outre que la partie ou son représentant qui usent de mauvaise foi ou de procédés téméraires sont punis d'une amende disciplinaire de 2'000 fr. au plus; l'amende est de 5'000 fr. au plus en cas de récidive. La témérité ou mauvaise foi supposent, en sus d'une absence de chances de succès du procès objectivement constatable, un élément subjectif. La procédure doit être introduite en dépit du bon sens ou du moins, en dépit de l'issue prévisible, vu la situation, par la personne concernée. L'absence de chances de succès ne fait pas apparaitre, en soi, une procédure comme introduite de façon téméraire ou de mauvaise foi. Il faut, en sus, des éléments subjectifs blâmables, soit que la partie concernée puisse d'emblée reconnaître l'absence de chances de succès en faisant la réflexion rationnelle que l'on peut attendre d'elle et malgré ce, mène le procès. La jurisprudence concernant l'art. 343 aCO n'admettait la mauvaise foi qu'avec retenue, en présence de configurations spéciales (arrêt du Tribunal fédéral 4A_685/2011 du 24 mai 2012 consid. 6.2).</w:t>
      </w:r>
    </w:p>
    <w:p>
      <w:r>
        <w:rPr>
          <w:b/>
        </w:rPr>
        <w:t>E. 7.2</w:t>
      </w:r>
    </w:p>
    <w:p>
      <w:r>
        <w:t>En l'espèce, les appelants ont allégué devant les premiers juges que l'intimée avait subi une agression et qu'ils l'avaient accueillie chez eux pour des vacances. Ils ont également soutenu que c'était par pure générosité qu'ils lui avaient versé chaque mois une certaine somme d'argent, ainsi qu'à sa famille. Comme relevé au consid. 3.2 ci-dessus, de telles allégations ne sont cependant rendues ni crédibles, ni vraisemblables par les appelants; elles sont notamment incompatibles avec le planning horaire produit par l'intimée, ainsi qu'avec l'état de fatigue et d'amaigrissement qui a été constaté chez cette dernière lorsqu'elle a</w:t>
      </w:r>
    </w:p>
    <w:p>
      <w:r>
        <w:t>- 16/17 -</w:t>
      </w:r>
    </w:p>
    <w:p>
      <w:r>
        <w:t>C/16893/2013-5 définitivement quitté le domicile des appelants après plus d'une année auprès d'eux. Le fait pour les appelants de nier l'existence d'une relation de travail dans le cas de l'intimée, alors qu'ils avaient précédemment employé les sœurs de celle-ci aux mêmes tâches, et d'invoquer des circonstances particulières ayant trait à leur générosité ou à des liens d'amitié avec la famille de l'intimée, pour tenter de justifier que le cas de l'intimée soit considéré différemment, alors qu'ils n'étaient pas en mesure de rendre vraisemblables de telles circonstances et qu'ils ne pouvaient raisonnablement ignorer qu'ils ne le seraient pas, conduit à admettre que la position des appelants était effectivement téméraire au sens des dispositions et principes rappelés ci-dessus. Par conséquent, le jugement entrepris sera confirmé en tant qu'il a mis les frais judiciaires du procès de première instance à la charge des appelants et condamné ceux-ci au paiement d'une amende pour témérité.</w:t>
      </w:r>
    </w:p>
    <w:p>
      <w:r>
        <w:rPr>
          <w:b/>
        </w:rPr>
        <w:t>E. 8</w:t>
      </w:r>
    </w:p>
    <w:p>
      <w:r>
        <w:t>La valeur litigieuse devant la Cour étant inférieure à 50'000 fr., la procédure d'appel est gratuite. Il ne sera perçu aucun frais ni alloué de dépens (art. 114 al. 1 let. c, 116 al. 1 CPC; art. 19 al. 3 let. c et 22 al. 2 LaCC). L'avance de frais de 500 fr. versée le 21 août 2014 par les appelants leur sera en conséquence restituée. * * * * *</w:t>
      </w:r>
    </w:p>
    <w:p>
      <w:r>
        <w:t>- 17/17 -</w:t>
      </w:r>
    </w:p>
    <w:p>
      <w:r>
        <w:t>C/16893/2013-5 PAR CES MOTIFS, La Chambre des prud'hommes, groupe 5 : A la forme : Déclare recevable l'appel interjeté le 15 août 2014 par B______ et A______ contre le jugement JTPH/234/2014 rendu le 17 juin 2014 par le Tribunal des Prud'hommes dans la cause C/16893/2013. Au fond : Confirme ce jugement. Déboute les parties de toutes autres conclusions. Sur les frais : Ordonne aux Services financiers du Pouvoir judiciaire de verser la somme de 500 fr. à B______ et A______. Siégeant : Madame Nathalie LANDRY-BARTHE, présidente; Monsieur Michael RUDERMANN, juge employeur; Monsieur Willy KNOPFEL, juge salarié;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