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CAPH/91/2020 vom 6. Mai 2020</w:t>
      </w:r>
    </w:p>
    <w:p>
      <w:r>
        <w:t>GE Cour de justice, 2020-05-06, FR</w:t>
      </w:r>
    </w:p>
    <w:p>
      <w:r>
        <w:rPr>
          <w:b/>
        </w:rPr>
        <w:t xml:space="preserve">Quelle: </w:t>
      </w:r>
      <w:r>
        <w:t>https://mcp.opencaselaw.ch/entscheid/ge_gerichte_CAPH_91_2020</w:t>
      </w:r>
    </w:p>
    <w:p>
      <w:r>
        <w:t>FR: GE_GERICHTE CAPH/91/2020 du 6 mai 2020</w:t>
      </w:r>
    </w:p>
    <w:p>
      <w:r>
        <w:t>IT: GE_GERICHTE CAPH/91/2020 del 6 maggio 2020</w:t>
      </w:r>
    </w:p>
    <w:p>
      <w:pPr>
        <w:pStyle w:val="Heading2"/>
      </w:pPr>
      <w:r>
        <w:t>Erwägungen</w:t>
      </w:r>
    </w:p>
    <w:p>
      <w:r>
        <w:rPr>
          <w:b/>
        </w:rPr>
        <w:t>E. 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w:t>
      </w:r>
    </w:p>
    <w:p>
      <w:r>
        <w:t>- 6/14 -</w:t>
      </w:r>
    </w:p>
    <w:p>
      <w:r>
        <w:t>C/10724/2018-5 civile, 2ème éd. 2019, n. 11 ad art. 319 CPC; FREIBURGHAUS/AFHELDT, Kommentar zur Schweizerischen Zivilprozessordnung, 3ème éd. 2016, n. 11 ad art. 319 CPC). Les "autres décisions" se rapportent aux décisions dont le prononcé marque définitivement le cours des débats et déploie - dans cette seule mesure - autorité et force de chose jugée à l'encontre des parties ou des tiers concernés. Une telle qualification échoit notamment aux décisions par lesquelles le juge statue sur l'admission de faits et moyens de preuve nouveaux (art. 229 CPC), ainsi que sur l'admission de conclusions modifiées (art. 227 et 230 CPC; JEANDIN, Commentaire romand, Code de procédure civile, 2ème éd. 2019, n. 15 ad art. 319 CPC).</w:t>
      </w:r>
    </w:p>
    <w:p>
      <w:r>
        <w:rPr>
          <w:b/>
        </w:rPr>
        <w:t>E. 1.2</w:t>
      </w:r>
    </w:p>
    <w:p>
      <w:r>
        <w:t>Dans le cadre de la décision querellée, le Tribunal a notamment déclaré irrecevable le mémoire sur demande reconventionnelle et réplique déposé par le recourant, déclaré irrecevables les conclusions nouvelles contenues dans l'exemplaire du 3 septembre 2019 et refusé trois offres de preuve produites avec celui-ci. Il a ainsi rendu une décision par laquelle il a statué sur le déroulement et la conduite de la procédure. Ladite décision peut faire l'objet d'un recours conformément à l'art. 319 let. b CPC.</w:t>
      </w:r>
    </w:p>
    <w:p>
      <w:r>
        <w:rPr>
          <w:b/>
        </w:rPr>
        <w:t>E. 1.3</w:t>
      </w:r>
    </w:p>
    <w:p>
      <w:r>
        <w:t>Le recours, écrit et motivé, doit être déposé auprès de l'instance de recours dans un délai de dix jours à compter de la notification de la décision (art. 321 al. 1 et 2 CPC). En l'espèce, le recours a été introduit dans le délai imparti. Bien qu'il présente de longs développements, parfois redondants et dont la pertinence est par endroits fortement discutable, sa recevabilité sera admise du point de vue formel (art. 130, 131 et 321 CPC).</w:t>
      </w:r>
    </w:p>
    <w:p>
      <w:r>
        <w:rPr>
          <w:b/>
        </w:rPr>
        <w:t>E. 2</w:t>
      </w:r>
    </w:p>
    <w:p>
      <w:r>
        <w:t>Reste à déterminer si le jugement attaqué est susceptible de causer un préjudice difficilement réparable au recourant.</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(ACJC/353/2019 du 1er mars 2019 consid. 3.1.1; JEANDIN, op. cit., n. 22 ad art. 319 CPC).</w:t>
      </w:r>
    </w:p>
    <w:p>
      <w:r>
        <w:t>- 7/14 -</w:t>
      </w:r>
    </w:p>
    <w:p>
      <w:r>
        <w:t>C/10724/2018-5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w:t>
      </w:r>
    </w:p>
    <w:p>
      <w:r>
        <w:t>- 8/14 -</w:t>
      </w:r>
    </w:p>
    <w:p>
      <w:r>
        <w:t>C/10724/2018-5 finale sur le fond (BRUNNER, Schweizerische Zivilprozessordnung, 2016, n. 13 ad art. 319 CPC). 3.1.2 Les ordonnances d'instruction, qui statuent en particulier sur l'opportunité et les modalités d'administration des preuves, ne déploient pas d'autorité de force de chose jugée et peuvent en conséquence être modifiées ou complétées en tout temps (art. 154 in fine CPC; JEANDIN, op. cit., n. 14 ad art. 319 CPC). 3.1.3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des éléments de fait ou de droit, et qu'elle soit ou non concrètement susceptible d'influer sur le jugement à rendre (ATF 139 II 489 consid. 3.3; 139 I 189 consid. 3.2; 138 I 484 consid. 2.1). 3.1.4 Selon un principe bien établi, dans un procès régi par la maxime des débats, les parties ont chacune deux chances de s'exprimer - c'est-à-dire d'introduire des allégués, des offres de preuves, des moyens d'attaque ou de défense - sans limites (ATF 140 III 312 consid. 6.3.2.3, JdT 2016 II 257; arrêt du Tribunal fédéral 4A_70/2019 du 6 août 2019 (destiné à la publication)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 3.1.5 Après la clôture de la phase d'allégation, la présentation de nova n'est plus possible qu'aux conditions restrictives de l'art. 229 al. 1 CPC (arrêt du Tribunal fédéral précité 4A_70/2019 du 6 août 2019 consid. 2.5.2).</w:t>
      </w:r>
    </w:p>
    <w:p>
      <w:r>
        <w:t>3.2 En l'espèce, le recourant allègue que le jugement entrepris est susceptible de lui causer un préjudice difficilement réparable, dès lors qu'il viole ses droits fondamentaux, et plus particulièrement son droit d'être entendu. 3.3.1 S'agissant du chiffre 1 du dispositif entrepris, il reproche au Tribunal d'avoir considéré les conclusions C3 et C5 à C10 comme étant nouvelles, alors qu'elles correspondaient à une réduction des conclusions de sa demande initiale. Seule la conclusion C4 constituait une amplification de la demande, étant toutefois précisé qu'elle se fondait sur des faits déjà articulés dans celle-ci. Par ailleurs, les nouvelles pièces produites avec les deux dernières versions de la réplique étaient</w:t>
      </w:r>
    </w:p>
    <w:p>
      <w:r>
        <w:t>- 9/14 -</w:t>
      </w:r>
    </w:p>
    <w:p>
      <w:r>
        <w:t>C/10724/2018-5 recevables, puisqu'elles avaient été produites avant la clôture de la phase d'allégation. 3.3.2 Dès lors que, selon les dires du recourant, les conclusions déclarées irrecevables constituent pour l'essentiel une réduction de ces prétentions initiales et dans une moindre mesure une amplification de sa demande fondée sur des faits déjà allégués dans celle-ci, on ne saurait retenir que leur non-admission pourrait lui créer un dommage difficilement réparable s'il devait attendre le jugement final pour s'en plaindre. De la même manière, le recourant pourra, cas échéant, contester l'irrecevabilité des pièces écartées par la décision entreprise dans le cadre d'un appel contre le jugement final. L'instance d'appel aura alors la possibilité de se prononcer en prenant en considération les conclusions nouvellement formulées et les pièces produites ou de renvoyer la cause en première instance pour complément d'instruction. Partant, le recours formé contre le chiffre 1 du dispositif est irrecevable, faute de préjudice difficilement réparable. A titre superfétatoire, il sera relevé que l'art. 132 al. 2 CPC permet de réparer certains manquements typiques des plaideurs qui procèdent sans l'assistance d'un avocat et qu'il n'est pas destiné à permettre le complètement de moyens par ailleurs correctement présentés (arrêt du Tribunal fédéral 4A_659/2011 du</w:t>
      </w:r>
    </w:p>
    <w:p>
      <w:r>
        <w:rPr>
          <w:b/>
        </w:rPr>
        <w:t>E. 7</w:t>
      </w:r>
    </w:p>
    <w:p>
      <w:r>
        <w:t>décembre 2011, consid. 5). Aussi, le recourant ne pouvait pas modifier le fond de sa demande dans les deux dernières versions de sa réplique ou produire des pièces qu'il aurait déjà pu fournir avec la première version du 29 avril 2019. 3.4.1 En ce qui concerne le chiffre 2 du dispositif querellé, le recourant fait grief au premier juge d'avoir retenu que son mémoire du 3 septembre 2019 était prolixe. Il se plaint, de manière subsidiaire, de ce que ses écritures n'ont pas été prises en considération dans la mesure de leur recevabilité. Les écritures du 3 septembre 2019 portent tant sur la réplique du recourant que sur sa réponse à la demande reconventionnelle. Partant, la question pourrait se poser de savoir si le Tribunal a à tort déclaré en bloc irrecevables ces deux aspects, sans examiner la recevabilité de chacun d'entre eux de manière séparée. 3.4.2 Conformément à la jurisprudence du Tribunal fédéral, la clôture de la phase d'allégation, en cas de double échange d'écritures, intervient après le second échange d'écritures (ATF 140 III 312 consid. 6.3.2, JdT 2016 II 257). Il s'ensuit que le recourant n'est, à ce stade de la procédure, plus en droit d'introduire librement des faits et moyens de preuve nouveaux en relation avec sa demande en paiement. Certes, si le recourant devait succomber in fine, il lui resterait la possibilité d'attaquer l'arrêt final et, simultanément, de s'en prendre à la décision</w:t>
      </w:r>
    </w:p>
    <w:p>
      <w:r>
        <w:t>- 10/14 -</w:t>
      </w:r>
    </w:p>
    <w:p>
      <w:r>
        <w:t>C/10724/2018-5 présentement examinée, ce qui lui permettrait, au cas où il le ferait avec succès, d'obtenir un nouveau jugement sur sa demande en paiement après qu'il aura pu introduire les faits et offres de preuve que le Tribunal aurait refusé à tort de prendre en considération. Toutefois, dans la mesure où le jugement entrepris a été rendu avant les débats principaux, il apparaît disproportionné d'exiger de lui qu'il attende le prononcé du jugement final pour se plaindre d'une violation de son droit d'être entendu. Il y a en effet lieu de lui permettre, cas échéant, de faire porter l'instruction sur ses allégués nouveaux, à la condition néanmoins que ceux-ci soient pertinents et contestés (cf. art. 150 al. 1 CPC). La condition du préjudice difficilement réparable est dès lors réalisée en ce qui concerne la recevabilité des écritures liées à la réplique du recourant, de sorte qu'il se justifie d'entrer en matière sur ce point. Le recours contre le chiffre 2 du dispositif du jugement entrepris est donc recevable dans cette mesure. 3.4.3 Il en va en revanche différemment s'agissant de la réponse à la demande reconventionnelle. En effet, un seul échange d'écritures a été ordonné à ce sujet, de sorte que le recourant pourra faire valoir ses allégués, offres de preuve et conclusions en lien avec celle-ci lors de l'audience de débats d'instruction. Partant, le chiffre 2 jugement entrepris, en tant qu'il écarte les écritures de réponse sur demande reconventionnelle, n'est pas susceptible de lui causer un préjudice difficilement réparable, ce d'autant moins qu'il s'agira d'avancer des allégués que le recourant a exposés en seulement 3,5 pages dans ses écritures du 3 septembre 2019. Le recours est donc irrecevable sur ce point. 4. Les pièces nouvelles déposées par les parties sont irrecevables (art. 326 al. 1 CPC). 5. Le recourant fait grief au Tribunal d'avoir déclaré irrecevable son mémoire de réplique du 3 septembre 2019.</w:t>
      </w:r>
    </w:p>
    <w:p>
      <w:r>
        <w:t>5.1 L'art. 132 al. 1 et 2 CPC prévoit que le Tribunal peut impartir d'office un délai pour rectifier un acte illisible, inconvenant, incompréhensible ou prolixe. A défaut, l'acte n'est pas pris en considération. Il est admis qu’une écriture est prolixe lorsqu’elle présente des développements interminables et des redites sur des questions de fait ou de droit, sans que les circonstances concrètes l’imposent pour la défense des droits invoqués. Selon les circonstances, l’exposé d’un état de fait compliqué et d’une situation juridique</w:t>
      </w:r>
    </w:p>
    <w:p>
      <w:r>
        <w:t>- 11/14 -</w:t>
      </w:r>
    </w:p>
    <w:p>
      <w:r>
        <w:t>C/10724/2018-5 complexe impose une discussion détaillée. Même dans de tels cas, l’on peut cependant attendre que l’on se limite à l’essentiel. L’exigence de compréhensibilité impose aussi que le mémoire soit structuré de manière compréhensible. Il dépend des circonstances du cas concret que de déterminer si une écriture satisfait à ces exigences (arrêts du Tribunal fédéral 2C_204/2015 du 21 juillet 2015 consid. 5.4.2; 1C_162/2010 du 18 mai 2010 consid. 4.5).</w:t>
      </w:r>
    </w:p>
    <w:p>
      <w:r>
        <w:t>5.2 En l'espèce, le mémoire déposé le 3 septembre 2019 par le recourant comprend 148 pages de texte condensé, présentant des marges réduites par rapport à sa première version. Si l'on peut admettre que ce dernier mémoire contient des allégués de fait plus courts que ceux figurant dans l'exemplaire du 29 avril 2019 (664 allégués contre 1'580), ces allégués présentent à nouveau de nombreuses formules redondantes et des répétitions (cf. partie "En Fait" points i.f et i.h). Ils mélangent encore des faits et du droit (cf. partie "En Fait" points i.d et i.e) mais aussi plusieurs faits (cf. partie "En Fait" point i.c), rendant la compréhension des écritures difficile et confuse. Ils présentent en outre des faits négatifs, exposés parfois sous plusieurs allégués, dont l'apport de la preuve n'incombe pas au recourant ou dont la pertinence est fortement douteuse (cf. partie "En Fait" point i.g). Tous ces éléments rendent prolixe la réplique dans son ensemble, empêchant l'intimée d'y dupliquer de manière précise. La complexité du litige, qui ne porte que sur l'existence d'heures de travail non rémunérées et un congé donné prétendument en raison de la dénonciation par l'employé de comportements non éthiques de son employeur, ne justifie pas un exposé de 148 pages, étant précisé que le recourant a répliqué aux 217 allégués de sa partie adverse sur les motifs du congé par 515 allégués propres. Le Tribunal était en effet en droit de s'attendre du recourant, de surcroît au bénéfice d'une formation d'avocat - obtenue en Australie -, qu'il se limite aux faits essentiels. Le fait que dans ces circonstances, le Tribunal ait considéré que le recourant n’avait pas satisfait à l’invitation à corriger son mémoire et déclaré celui-ci irrecevable ne prête pas le flanc à la critique. En laissant au recourant la possibilité à deux occasions de modifier sa réplique, le premier juge n’a pas violé son droit d’être entendu.</w:t>
      </w:r>
    </w:p>
    <w:p>
      <w:r>
        <w:t>C'est par ailleurs en vain que le recourant invoque la protection contre le formalisme excessif. Cette garantie constitutionnelle ne dispense pas les plaideurs d'agir dans le respect des règles de procédure légitimement imposées dans l'intérêt d'une administration efficace de la justice et dans l'intérêt des autres parties au procès (arrêt du Tribunal fédéral 4A_659/2011 du 7 décembre 2011, consid. 6). Par ailleurs, contrairement à ce que soutient le recourant, l'intimée ne commet aucun abus de droit en demandant le respect de ses droits procéduraux.</w:t>
      </w:r>
    </w:p>
    <w:p>
      <w:r>
        <w:t>5.3 Le recours est donc rejeté dans le mesure de sa recevabilité.</w:t>
      </w:r>
    </w:p>
    <w:p>
      <w:r>
        <w:t>- 12/14 -</w:t>
      </w:r>
    </w:p>
    <w:p>
      <w:r>
        <w:t>C/10724/2018-5 6. Le recourant, qui succombe, sera condamné aux frais judiciaires du recours, arrêtés à 1'000 fr. (art. 95, 106 al. 1 CPC ; art. 41 et 68 RTFMC), compensés par l'avance de frais du même montant versée par lui, qui reste acquise à l'Etat de Genève (art. 111 al. 1 CPC). Il ne sera pas alloué de dépens de recours ni d'indemnité pour la représentation en justice dans les causes soumises à la juridiction des prud'hommes (art. 22 al. 2 LaCC). * * * * *</w:t>
      </w:r>
    </w:p>
    <w:p>
      <w:r>
        <w:t>- 13/14 -</w:t>
      </w:r>
    </w:p>
    <w:p>
      <w:r>
        <w:t>C/10724/2018-5 PAR CES MOTIFS, La Chambre des prud'hommes de la Cour de justice, groupe 5 : A la forme : Déclare irrecevable le recours interjeté par A______ contre le chiffre 1 et le chiffre 2, en tant qu'il vise ses écritures sur demande reconventionnelle, du jugement JTPH/349/2019 rendue le 16 septembre 2019 par le Tribunal des prud'hommes dans la cause C/10724/2018-5. Déclare recevable le recours pour le surplus. Au fond : Rejette le recours dans la mesure de sa recevabilité. Déboute les parties de toutes autres conclusions. Arrête les frais judiciaires de recours à 1'000 fr., les met à la charge de A______ et les compense avec l'avance du même montant fournie par celui-ci, laquelle reste acquise à l'Etat de Genève. Dit qu'il n'est pas alloué de dépens de recours. Siégeant : Madame Verena PEDRAZZINI RIZZI, présidente; Monsieur Michael RUDERMANN, juge employeur; Monsieur Willy KNOPFEL, juge salarié, Madame Chloé RAMAT, greffière.</w:t>
      </w:r>
    </w:p>
    <w:p>
      <w:r>
        <w:t>- 14/14 -</w:t>
      </w:r>
    </w:p>
    <w:p>
      <w:r>
        <w:t>C/10724/2018-5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