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CAPH/89/2023 vom 12. Juli 2023</w:t>
      </w:r>
    </w:p>
    <w:p>
      <w:r>
        <w:t>GE Cour de justice, 2023-07-12, FR</w:t>
      </w:r>
    </w:p>
    <w:p>
      <w:r>
        <w:rPr>
          <w:b/>
        </w:rPr>
        <w:t xml:space="preserve">Quelle: </w:t>
      </w:r>
      <w:r>
        <w:t>https://mcp.opencaselaw.ch/entscheid/ge_gerichte_CAPH_89_2023</w:t>
      </w:r>
    </w:p>
    <w:p>
      <w:r>
        <w:t>FR: GE_GERICHTE CAPH/89/2023 du 12 juillet 2023</w:t>
      </w:r>
    </w:p>
    <w:p>
      <w:r>
        <w:t>IT: GE_GERICHTE CAPH/89/2023 del 12 luglio 2023</w:t>
      </w:r>
    </w:p>
    <w:p>
      <w:pPr>
        <w:pStyle w:val="Heading2"/>
      </w:pPr>
      <w:r>
        <w:t>Erwägungen</w:t>
      </w:r>
    </w:p>
    <w:p>
      <w:r>
        <w:rPr>
          <w:b/>
        </w:rPr>
        <w:t>E. 1</w:t>
      </w:r>
    </w:p>
    <w:p>
      <w:r>
        <w:t>1.1.1 En procédure civile, la décision sur la capacité de postuler de l'avocat – ou de tout autre mandataire au sens de l'art. 68 al. 2 CPC – vise à garantir la bonne marche du procès. Elle entre donc dans la catégorie des décisions relatives à la conduite du procès, au sens de l'art. 124 al. 1 CPC (ATF 147 III 351 consid. 6.3). La voie du recours est ouverte contre les ordonnances d'instruction et autres décisions au sens de l'art. 124 al. 1 CPC pour autant qu'elles causent un préjudice difficilement réparable. Le recours, écrit et motivé est introduit auprès de l'instance de recours dans les 30 jours à compter de la notification de la décision pour les autres décisions et dans les 10 jours pour les ordonnances d'instruction (art. 319 let. b ch. 2, 321 al. 1 et 2 CPC; JEANDIN, Commentaire Romand, CPC, 2019, n° 10 et ss ad art. 319 CPC). Le mandataire auquel la vocation à postuler a été déniée par une décision a la qualité pour recourir contre celle-ci, même s'il n'est pas personnellement partie à la procédure dans laquelle cette décision a été rendue (arrêts du Tribunal fédéral 5A_124/2022 du 26 avril 2022 consid. 1.1; 5A_967/2014 du 27 mars 2015 consid.</w:t>
      </w:r>
    </w:p>
    <w:p>
      <w:r>
        <w:rPr>
          <w:b/>
        </w:rPr>
        <w:t>E. 1.2</w:t>
      </w:r>
    </w:p>
    <w:p>
      <w:r>
        <w:t>et 1.3). 1.1.2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206 consid. 1.1). Il s'agit là d'une condition de recevabilité du recours que le juge doit examiner d'office (art. 59 al. 1, 59 al. 2 let. a et 60 CPC; ATF 130 III 430 consid. 3.1). 1.1.3 La nullité d'une décision judiciaire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arrêts du Tribunal fédéral 5D_78/2022 du 31 octobre 2022 consid. 3.1).</w:t>
      </w:r>
    </w:p>
    <w:p>
      <w:r>
        <w:rPr>
          <w:b/>
        </w:rPr>
        <w:t>E. 1.2.1</w:t>
      </w:r>
    </w:p>
    <w:p>
      <w:r>
        <w:t>Le recours a en l'espèce été interjeté en temps utile et dans les formes prévues par la loi contre une décision pouvant en principe être contestée par cette voie. Il est dans cette mesure recevable. A______, qui a été désigné comme représentant par l’intimée dans le cadre de la présente procédure, n’est pas visé par le dispositif de la décision litigieuse, de sorte que l’on peut se demander s’il a un intérêt au recours. La formulation de la décision litigieuse est cependant peu claire. Dans les considérants, ses rédacteurs semblent se prononcer à la fois sur la situation de B______ et sur celle de A______. Ce dernier a d’ailleurs été invité à présenter des observations tant sur la</w:t>
      </w:r>
    </w:p>
    <w:p>
      <w:r>
        <w:t>- 4/7 -</w:t>
      </w:r>
    </w:p>
    <w:p>
      <w:r>
        <w:t>C/20967/2022- capacité de postuler de B______ que sur la sienne. En outre, l’on comprendrait mal pour quel motif la décision querellée statuerait sur la capacité de postuler d’une entité qui n’est pas représentante d’une partie au litige, si ses rédacteurs n’entendaient pas par ce biais se prononcer sur la situation du représentant en cause dans le cas d’espèce. A cela s’ajoute que la société en nom collectif n’est pas une personne morale, même si elle dispose d’une « quasi-personnalité » en ce sens qu’elle est un sujet de droit distinct de ses associés et qu’elle est capable d’agir en justice et d’y être actionnée (VULLIETY, Commentaire romand, n.4 ad art. 552 CO). Il en résulte qu’il n’est pas exclu que la décision litigieuse puisse être interprétée en ce sens qu’elle dénie également à A______, associé de B______, la capacité de postuler dans la présente cause. La recevabilité du recours formé par ce dernier sera dès lors admise. La qualité pour recourir de B______ sera quant à elle également reconnue, en dépit du fait qu’elle n’a pas été désignée comme représentante de l’intimée dans le cadre de la présente cause. Elle a en effet un intérêt au recours, dans la mesure où le dispositif de la décision querellée la vise directement et pourrait être interprété comme ayant une portée générale, dépassant celle du cas d’espèce, puisque la qualité de mandataire qualifiée ne lui est pas uniquement déniée dans la présente cause, mais, plus largement, « dans les causes de nature prud’homale ».</w:t>
      </w:r>
    </w:p>
    <w:p>
      <w:r>
        <w:rPr>
          <w:b/>
        </w:rPr>
        <w:t>E. 2</w:t>
      </w:r>
    </w:p>
    <w:p>
      <w:r>
        <w:t>let. d CPC). A Genève, l'art. 15 LaCC le prévoit, à l'instar de ce qui prévalait sous l'empire de l'ancien droit cantonal de procédure.</w:t>
      </w:r>
    </w:p>
    <w:p>
      <w:r>
        <w:t>- 5/7 -</w:t>
      </w:r>
    </w:p>
    <w:p>
      <w:r>
        <w:t>C/20967/2022-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 (ATF 147 III 351 consid. 6.3; arrêt du Tribunal fédéral 4A_87/2012 du 10 avril 2012 consid. 3.2.3). 2.1.3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Selon l'art. 1 al. 5 RTPH, la séance plénière exerce les attributions que la loi lui confère de même que celles qui sont attribuées au collège des présidents et vice- présidents de groupe. L'art. 2 al. 1 RTPH prévoit que la commission de gestion du Tribunal des prud'hommes se compose des 10 présidents et vice-présidents de groupe élus lors des assemblées générales annuelles, du greffier de juridiction et des greffiers- 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 12 al. 3 LTPH.</w:t>
      </w:r>
    </w:p>
    <w:p>
      <w:r>
        <w:rPr>
          <w:b/>
        </w:rPr>
        <w:t>E. 2.2</w:t>
      </w:r>
    </w:p>
    <w:p>
      <w:r>
        <w:t>En l'espèce, la décision attaquée porte sur la capacité à postuler des recourants en qualité de mandataires professionnellement qualifiés et, partant, sur la recevabilité des actes qu'ils seront appelés à effectuer au nom d'une partie dans le cadre d'une procédure en cours. Elle a été rendue par le Collège des présidents et vice-présidents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w:t>
      </w:r>
    </w:p>
    <w:p>
      <w:r>
        <w:t>- 6/7 -</w:t>
      </w:r>
    </w:p>
    <w:p>
      <w:r>
        <w:t>C/20967/2022- conditions de recevabilité des actes et à rendre des décisions en matière de conduite du procès. 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 Au vu de l'incompétence fonctionnelle de l'autorité qui a prononcé la décision attaquée, celle-ci est nulle, ce qui doit être constaté d'office.</w:t>
      </w:r>
    </w:p>
    <w:p>
      <w:r>
        <w:rPr>
          <w:b/>
        </w:rPr>
        <w:t>E. 3</w:t>
      </w:r>
    </w:p>
    <w:p>
      <w:r>
        <w:t>Il n'y a pas lieu de renvoyer la cause au Collège des présidents et vice-présidents de groupe du Tribunal des prud'hommes, celui-ci ne disposant pas de la compétence pour statuer à nouveau. Il appartiendra au Tribunal des prud'hommes, dans sa composition prévue par l'art. 12 LTPH, de reprendre l'instruction de la cause et de statuer le cas échéant sur les questions de capacité à postuler susceptibles de se poser.</w:t>
      </w:r>
    </w:p>
    <w:p>
      <w:r>
        <w:rPr>
          <w:b/>
        </w:rPr>
        <w:t>E. 4</w:t>
      </w:r>
    </w:p>
    <w:p>
      <w:r>
        <w:t>Il n'est pas perçu de frais judiciaires ni alloué de dépens de recours (art. 22 al. 2 LaCC). * * * * *</w:t>
      </w:r>
    </w:p>
    <w:p>
      <w:r>
        <w:t>- 7/7 -</w:t>
      </w:r>
    </w:p>
    <w:p>
      <w:r>
        <w:t>C/20967/2022- PAR CES MOTIFS, La Chambre des prud'hommes, groupe 5: À la forme : Déclare recevable le recours interjeté par B______ et A______ contre la décision JTPH/128/2023 rendue le 26 avril 2023 par le Collège des présidents et vice-présidents de groupe du Tribunal des prud'hommes dans la cause C/20967/2022-5. Au fond : Constate la nullité de la décision précitée. Déboute les parties de toutes autres conclusions. Siégeant : Madame Fabienne GEISINGER-MARIETHOZ, présidente; Madame Anne-Christine GERMANIER; Madame Shirin HATAM;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