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CAPH/85/2023 vom 13. Oktober 2022</w:t>
      </w:r>
    </w:p>
    <w:p>
      <w:r>
        <w:t>GE Cour de justice, 2022-10-13, FR</w:t>
      </w:r>
    </w:p>
    <w:p>
      <w:r>
        <w:rPr>
          <w:b/>
        </w:rPr>
        <w:t xml:space="preserve">Quelle: </w:t>
      </w:r>
      <w:r>
        <w:t>https://mcp.opencaselaw.ch/entscheid/ge_gerichte_CAPH_85_2023</w:t>
      </w:r>
    </w:p>
    <w:p>
      <w:r>
        <w:t>FR: GE_GERICHTE CAPH/85/2023 du 13 octobre 2022</w:t>
      </w:r>
    </w:p>
    <w:p>
      <w:r>
        <w:t>IT: GE_GERICHTE CAPH/85/2023 del 13 ottobre 2022</w:t>
      </w:r>
    </w:p>
    <w:p>
      <w:pPr>
        <w:pStyle w:val="Heading2"/>
      </w:pPr>
      <w:r>
        <w:t>Erwägungen</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fixe des délais ou ordonne des échanges d'écritures (Jeandin, in Commentaire romand, Code de procédure civile, 2019, n. 14 ad art. 319 CPC). Quant aux "autres décisions", leur prononcé marque définitivement le cours des débats et déploie – dans cette seule mesure – autorité et force de chose jugée à l'encontre des parties ou des tiers concernés. Une telle qualification échoit par exemple aux décisions statuant sur une récusation, une suspension ou sur l'admission de faits et moyens de preuve nouveaux (Jeandin, op. cit., n. 15 ad art. 319 CPC). La distinction entre "autres décisions" et "ordonnances d'instruction" – qui n'est pas toujours aisée – ne joue véritablement de rôle qu'en vue de calculer le délai de recours (Jeandin, op. cit., n. 16 ad art. 319 CPC). Le recours, écrit et motivé, est en effet introduit auprès de l'instance de recours dans les trente jours à compter de la notification de la décision motivée (art. 321 al. 1 CPC), alors que le délai est de dix jours pour les ordonnances d'instruction (art. 321 al. 2 CPC).</w:t>
      </w:r>
    </w:p>
    <w:p>
      <w:r>
        <w:rPr>
          <w:b/>
        </w:rPr>
        <w:t>E. 1.2</w:t>
      </w:r>
    </w:p>
    <w:p>
      <w:r>
        <w:t>En l'espèce, l'ordonnance querellée déclare irrecevables des allégués et des titres, rejette des offres de preuve, ordonne la production de pièces ainsi que "l'ouverture d'une expertise", en en déterminant le cadre ainsi que les modalités. Le recours a été formé dans le délai de dix jours, auprès de l'autorité compétente (art. 120 al. 1 let. a LOJ), par une partie qui y a intérêt (art. 59 al. 2 let. a CPC) et en suivant la forme prévue par la loi (art. 130, 131 et 321 al. 1 CPC), de sorte qu'il est recevable à cet égard. Le recours n'étant pas prévu par la loi, reste à déterminer si l'ordonnance querellée est susceptible de causer un préjudice difficilement réparable au recourant au sens de l'art. 319 let. b ch. 2 CPC.</w:t>
      </w:r>
    </w:p>
    <w:p>
      <w:r>
        <w:rPr>
          <w:b/>
        </w:rPr>
        <w:t>E. 2.1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w:t>
      </w:r>
    </w:p>
    <w:p>
      <w:r>
        <w:t>- 6/10 -</w:t>
      </w:r>
    </w:p>
    <w:p>
      <w:r>
        <w:t>C/10574/2018- d'admettre l'accomplissement de cette dernière condition, sous peine d'ouvrir le recours à toute décision ou ordonnance d'instruction, ce que le législateur a clairement exclu : il s'agit de se prémunir contre le risque d'un prolongement sans fin du procès (ACJC/416/2022 du 22 mars 2022 consid. 3.1; ACJC/1827/2018 du 13 décembre 2018 consid. 2.1.1; ACJC/580/2017 du 19 mai 2017 consid. 2.1 et les références citées).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n. 22b ad art. 319). Si la condition du préjudice difficilement réparable n'est pas remplie, le recours est irrecevable et la partie doit attaquer la décision incidente avec la décision finale sur le fond (ACJC/728/2022 du 31 mai 2022 consid. 2.1; CAPH/35/2018 du 19 mars 2018 consid. 2.1; CAPH/172/2017 du 3 novembre 2017 consid. 2.1; Message du Conseil fédéral du 28 juin 2006 relatif au code de procédure civile suisse [CPC], FF 2006 6841, p. 6984). Il appartient au recourant d'alléguer et d'établir la possibilité que la décision incidente lui cause un préjudice difficilement réparable, à moins que cela ne fasse d'emblée aucun doute (par analogie ATF 141 III 80 consid. 1.2; 134 III 426 consid. 1.2; 133 III 629 consid. 2.3.1).</w:t>
      </w:r>
    </w:p>
    <w:p>
      <w:r>
        <w:rPr>
          <w:b/>
        </w:rPr>
        <w:t>E. 2.2</w:t>
      </w:r>
    </w:p>
    <w:p>
      <w:r>
        <w:t>La recourante ne tente d'affirmer l'existence d'un préjudice difficilement réparable qu'en regard des chiffres du dispositif de l'ordonnance attaquée consacrés à l'expertise (soit 16 à 21), à l'exclusion des autres points de ce dispositif dont elle requiert l'annulation. Au vu des principes rappelés ci-dessus, il n'y a ainsi pas à examiner plus avant le recours s'agissant des chiffres 2, 5 et 6, ainsi que 8 à 13 du dispositif de l'ordonnance, faute de recevabilité.</w:t>
      </w:r>
    </w:p>
    <w:p>
      <w:r>
        <w:t>- 7/10 -</w:t>
      </w:r>
    </w:p>
    <w:p>
      <w:r>
        <w:t>C/10574/2018- Seuls demeurent ainsi pertinents à ce stade les chiffres 16 à 21 du dispositif de l'ordonnance attaquée.</w:t>
      </w:r>
    </w:p>
    <w:p>
      <w:r>
        <w:rPr>
          <w:b/>
        </w:rPr>
        <w:t>E. 3</w:t>
      </w:r>
    </w:p>
    <w:p>
      <w:r>
        <w:t>En ce qui concerne lesdits chiffres, la recourante soutient d'une part que le moyen de preuve de l'expertise serait source d'un retard injustifié à statuer, d'autre part que des secrets seraient dévoilés si l'expert nommé accédait à ses données comptables et financières confidentielles protégées par les art. 162 CP et 47 LB, ce qui serait constitutif d'un préjudice difficilement réparable. Avant d'examiner cas échéant ce moyen, il s'agit de déterminer la nature de la décision rendue par le président du Tribunal.</w:t>
      </w:r>
    </w:p>
    <w:p>
      <w:r>
        <w:rPr>
          <w:b/>
        </w:rPr>
        <w:t>E. 3.1</w:t>
      </w:r>
    </w:p>
    <w:p>
      <w:r>
        <w:t>L'art. 322a prévoit que,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(al. 1). L'employeur fournit les renseignements nécessaires au travailleur ou, à sa place, à un expert désigné en commun ou par le juge; il autorise le travailleur ou l'expert à consulter les livres de la comptabilité dans la mesure où le contrôle l'exige (al. 2). Le droit aux renseignements est de nature matérielle; il peut être mis en œuvre dans une procédure indépendante ou dans une action échelonnée (arrêt du Tribunal fédéral 4A_390/2016 du 18 janvier 2017 consid. 2.3.1). Il doit être distingué de la demande de transmission de documents fondée sur le droit de procédure, qui est un moyen d'administration des preuves lié à une exigence de motivation des faits allégués (WITZIG, CR-CO, ad art. 322b n. 17).</w:t>
      </w:r>
    </w:p>
    <w:p>
      <w:r>
        <w:rPr>
          <w:b/>
        </w:rPr>
        <w:t>E. 3.2</w:t>
      </w:r>
    </w:p>
    <w:p>
      <w:r>
        <w:t>En l'espèce, dans sa demande, l'intimé a pris, pour partie, des conclusions principales et subsidiaires, dont la quotité définitive restait à déterminer, "une fois les preuves nécessaires administrées". Cette mention, peu précise, est à mettre en relation avec les conclusions articulées à titre préalable, en fourniture de renseignements, pièces à l'appui, subsidiairement en désignation d'un expert aux fins d'obtenir des renseignements, pièces à l'appui. Dans le corps de son acte, l'intimé s'est fondé, pour asseoir ses conclusions préalables, sur l'art. 322a CO. Il se déduit de ce qui précède que l'intimé a ainsi formé une action de type échelonnée, comportant tant une requête de reddition de comptes au sens de l'art. 322a CO qu'une action en paiement.</w:t>
      </w:r>
    </w:p>
    <w:p>
      <w:r>
        <w:t>Statuer sur la reddition de comptes requise, cas échéant en recourant au préalable à la nomination d'un expert comme l'art. 322a al. 2 CO en donne la faculté au juge, relève du droit matériel et non de la procédure. Une telle décision ne trouve ainsi pas sa place dans une ordonnance de procédure, et doit être tranchée dans un</w:t>
      </w:r>
    </w:p>
    <w:p>
      <w:r>
        <w:t>- 8/10 -</w:t>
      </w:r>
    </w:p>
    <w:p>
      <w:r>
        <w:t>C/10574/2018- jugement rendu au fond; compte tenu de la valeur litigieuse d'espèce, elle ouvrirait la voie de l'appel, au sens de l'art. 308 CPC, lequel n'est pas soumis à la condition de l'existence d'un préjudice difficilement réparable.</w:t>
      </w:r>
    </w:p>
    <w:p>
      <w:r>
        <w:t>La Cour est ainsi fondée à considérer comme recevable l'acte qui lui est soumis, qui respecte les autres conditions formelles de l'appel, s'agissant des chiffres 16 à 21 du dispositif de la décision attaquée.</w:t>
      </w:r>
    </w:p>
    <w:p>
      <w:r>
        <w:rPr>
          <w:b/>
        </w:rPr>
        <w:t>E. 4</w:t>
      </w:r>
    </w:p>
    <w:p>
      <w:r>
        <w:t>La décision précitée a été rendue par le président du Tribunal.</w:t>
      </w:r>
    </w:p>
    <w:p>
      <w:r>
        <w:rPr>
          <w:b/>
        </w:rPr>
        <w:t>E. 4.1</w:t>
      </w:r>
    </w:p>
    <w:p>
      <w:r>
        <w:t>L'art. 12 LTPH prévoit que le Tribunal siège dans la composition d'un président, un juge prud'homme employeur et un juge prud'homme salarié.</w:t>
      </w:r>
    </w:p>
    <w:p>
      <w:r>
        <w:t>L'art. 124 al. 2 CPC dispose que la conduite du procès peut être déléguée à l'un des membres du Tribunal. Selon la LTPH, il s'agit du président du Tribunal.</w:t>
      </w:r>
    </w:p>
    <w:p>
      <w:r>
        <w:t>Les principaux motifs de nullité résident dans l'incompétence d'une autorité ou dans des violations crasses de règles procédurales (ATF 138 II 501 consid. 3.1). Dans le cas où un jugement est rendu sur le fond par un juge incompétent, ce jugement est entaché d'un vice grave qui, selon les circonstances, peut en entraîner la nullité (ATF 137 III 217 consid. 2.4.3).</w:t>
      </w:r>
    </w:p>
    <w:p>
      <w:r>
        <w:rPr>
          <w:b/>
        </w:rPr>
        <w:t>E. 4.2</w:t>
      </w:r>
    </w:p>
    <w:p>
      <w:r>
        <w:t>En l'occurrence, le chiffre 16 du dispositif de la décision attaquée a trait aux conclusions préalables en reddition de compte formées par l'intimé. Il relève donc, comme déjà retenu ci-dessus, du droit matériel, lequel est de la compétence du Tribunal composé conformément à l'art. 12 LTPH, et non d'un juge délégué au sens de l'art. 124 al. 2 CPC.</w:t>
      </w:r>
    </w:p>
    <w:p>
      <w:r>
        <w:t>La décision est ainsi viciée sur ce point. Par conséquent, la Cour annulera le chiffre 16, ainsi que les chiffres 17 à 21 qui en procèdent. Il reviendra au Tribunal, siégeant conformément à la loi, de se prononcer sur la conclusion préalable en reddition de comptes formulée par l'intimé dans le cadre de son action en paiement.</w:t>
      </w:r>
    </w:p>
    <w:p>
      <w:r>
        <w:rPr>
          <w:b/>
        </w:rPr>
        <w:t>E. 5</w:t>
      </w:r>
    </w:p>
    <w:p>
      <w:r>
        <w:t>Les frais judiciaires de la procédure devant la Cour seront arrêtés à 800 fr. (art. 23, 68, 71 RTFMC), mis à la charge de la recourante, qui succombe pour partie, à raison de 400 fr., le solde étant supporté par l'Etat de Genève (art. 106 al. 2, 107 al. 2 CPC). Le solde de l'avance versée, compensée à due concurrence, sera restitué à la recourante. Il n'est pas alloué de dépens (art. 22 al. 2 LaCC). * * * * *</w:t>
      </w:r>
    </w:p>
    <w:p>
      <w:r>
        <w:t>- 9/10 -</w:t>
      </w:r>
    </w:p>
    <w:p>
      <w:r>
        <w:t>C/10574/2018- PAR CES MOTIFS, La Chambre des prud'hommes, groupe 4 : A la forme : Déclare recevable le recours formé par A______ (SWITZERLAND) SA contre l'ordonnance rendue par le Tribunal des prud'hommes le 13 octobre 2022, en tant qu'il vise les chiffres 16 à 21 du dispositif de celui-ci, et irrecevable pour le surplus. Au fond : Annule les chiffres 16 à 21 du dispositif de cette ordonnance. Déboute les parties de toutes autres conclusions de recours. Sur les frais : Arrête les frais du recours à 800 fr., compensés avec l'avance opérée, acquise à l'Etat de Genève à concurrence de 400 fr. Les met à la charge de A______ (SWITZERLAND) SA à concurrence de 400 fr. et à celle de l'ETAT DE GENEVE à concurrence de 400 fr. Ordonne aux Services financiers du Pouvoir judiciaire de restituer 400 fr. à A______ (SWITZERLAND) SA. Dit qu'il n'est pas alloué de dépens. Siégeant : Madame Sylvie DROIN, présidente; Madame Nadia FAVRE, juge employeur; Madame Ana ROUX, juge employé; Monsieur Javier BARBEITO, greffier.</w:t>
      </w:r>
    </w:p>
    <w:p>
      <w:r>
        <w:t>- 10/10 -</w:t>
      </w:r>
    </w:p>
    <w:p>
      <w:r>
        <w:t>C/10574/2018-</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