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CAPH/84/2021 vom 19. Mai 2021</w:t>
      </w:r>
    </w:p>
    <w:p>
      <w:r>
        <w:t>GE Cour de justice, 2021-05-19, FR</w:t>
      </w:r>
    </w:p>
    <w:p>
      <w:r>
        <w:rPr>
          <w:b/>
        </w:rPr>
        <w:t xml:space="preserve">Quelle: </w:t>
      </w:r>
      <w:r>
        <w:t>https://mcp.opencaselaw.ch/entscheid/ge_gerichte_CAPH_84_2021</w:t>
      </w:r>
    </w:p>
    <w:p>
      <w:r>
        <w:t>FR: GE_GERICHTE CAPH/84/2021 du 19 mai 2021</w:t>
      </w:r>
    </w:p>
    <w:p>
      <w:r>
        <w:t>IT: GE_GERICHTE CAPH/84/2021 del 19 maggio 2021</w:t>
      </w:r>
    </w:p>
    <w:p>
      <w:pPr>
        <w:pStyle w:val="Heading2"/>
      </w:pPr>
      <w:r>
        <w:t>Erwägungen</w:t>
      </w:r>
    </w:p>
    <w:p>
      <w:r>
        <w:rPr>
          <w:b/>
        </w:rPr>
        <w:t>E. 1.1</w:t>
      </w:r>
    </w:p>
    <w:p>
      <w:r>
        <w:t>Le recours, écrit, motivé et formé dans les trente jours par une partie qui y a intérêt (art. 59 al. 2 let. a CPC), est recevable contre les décisions finales de première instance rendues dans le cadre d'affaires patrimoniales dont la valeur litigieuse est inférieure à 10'000 fr. (art. 308 al. 2 a contrario, 319 let. a et 321 al. 1 CPC). La motivation d'un recours doit, à tout le moins, satisfaire aux exigences qui sont posées pour un acte d'appel (arrêt du Tribunal fédéral 5A_206/2016 du 1er juin 2016 considérant 4.2.1).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w:t>
      </w:r>
    </w:p>
    <w:p>
      <w:r>
        <w:t>- 6/8 -</w:t>
      </w:r>
    </w:p>
    <w:p>
      <w:r>
        <w:t>C/26480/2019-CT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4A_290/2014 du 1er septembre 2014 consid. 3.1). 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1.2</w:t>
      </w:r>
    </w:p>
    <w:p>
      <w:r>
        <w:t>En l'espèce, en ce qu'il est interjeté dans le délai de 30 jours suivant la notification de la décision, par une partie qui y a intérêt, le recours est recevable.</w:t>
      </w:r>
    </w:p>
    <w:p>
      <w:r>
        <w:t>Dans son acte de recours, le recourante se limite à reprendre son argumentation de première instance, sans expliciter précisément en quoi le Tribunal aurait constaté les faits de manière arbitraire ou violé le droit.</w:t>
      </w:r>
    </w:p>
    <w:p>
      <w:r>
        <w:t>Il n'y a cependant pas lieu de se pencher plus avant sur la recevabilité du recours, au vu des considérations qui suivent.</w:t>
      </w:r>
    </w:p>
    <w:p>
      <w:r>
        <w:rPr>
          <w:b/>
        </w:rPr>
        <w:t>E. 2</w:t>
      </w:r>
    </w:p>
    <w:p>
      <w:r>
        <w:t>La recourante reproche à l'autorité précédente d'avoir retenu qu'elle était soumise à la CCT-SOR.</w:t>
      </w:r>
    </w:p>
    <w:p>
      <w:r>
        <w:rPr>
          <w:b/>
        </w:rPr>
        <w:t>E. 2.1</w:t>
      </w:r>
    </w:p>
    <w:p>
      <w:r>
        <w:t>La Convention collective de travail du second œuvre romand (CCT- SOR) du 19 novembre 2010 est entrée en vigueur le 1er janvier 2011. Par arrêté du 7 mars 2013, le Conseil fédéral a étendu le champ d’application de la convention (art. 1 et suivants de la Loi fédérale permettant d’étendre le champ d’application de la convention collective de travail : LECCT, RS 221.215.311) à compter du 1er avril 2012 jusqu’au 31 décembre 2016. En vertu de son art. 1 al. 2 et de son art. 2 al.1 let. b, la CCT-SOR s'applique à Genève à tous les employeurs, à toutes les entreprises et à tous les secteurs d’entreprises qui exécutent ou font exécuter, à titre principal ou accessoire, des travaux de plâtrerie et de peinture. Selon l'art. 3, la CCT-SOR s’applique au personnel d’exploitation occupé ou loué par les employeurs mentionnés à l’art. 2, y compris les chefs d’équipe et les contremaîtres, indépendamment du mode de rémunération (al. 1). Elle ne s’applique pas aux employés travaillant de manière exclusive dans les parties techniques et commerciales de l’entreprise (al. 2).</w:t>
      </w:r>
    </w:p>
    <w:p>
      <w:r>
        <w:rPr>
          <w:b/>
        </w:rPr>
        <w:t>E. 2.2</w:t>
      </w:r>
    </w:p>
    <w:p>
      <w:r>
        <w:t>En l'espèce, il est établi par pièces que la recourante exploite des salons de massage, bien que cette activité ne figure pas dans son but statutaire. Comme l'a</w:t>
      </w:r>
    </w:p>
    <w:p>
      <w:r>
        <w:t>- 7/8 -</w:t>
      </w:r>
    </w:p>
    <w:p>
      <w:r>
        <w:t>C/26480/2019-CT retenu à juste titre le Tribunal, cela ne permet pas encore de considérer qu'elle n'exerce aucune autre activité, fusse à titre accessoire, conforme à son but, lequel comprend la rénovation. La recourante a d'ailleurs admis dans son courrier du 18 juillet 2014 à l'intimée qu'elle exerçait à titre accessoire (et préparatoire) l'activité de rénovation. A cet égard, les contrôles effectués par l'intimée les 22 et 27 mars 2014 dans des locaux loués par D______ GmbH, soit une société tierce, ont permis d'établir que deux travailleurs employés par la recourante y effectuaient des travaux de seconde œuvre (montage de lambris en PVC et cloisons légères). L'allégation selon laquelle un des employés avait été embauché par D______ GmbH n'est étayé par aucune pièce et est contredit par le rapport établi par l'intimée. S'agissant de l'autre employé, une annonce avait été faite par la recourante à l'OCPM. Les photographies annexées au rapport de contrôle sont éloquentes et ne permettent aucun doute quant à la nature des travaux, que la recourante ne conteste au demeurant pas. Le fait que le gérant de la recourante soit également celui de la société locataire pour laquelle les travaux ont été effectués ne change rien à ce qui précède. En effet, malgré la confusion que le gérant semble entretenir entre ses différentes sociétés, il s'agit de deux entités juridiques différentes, avec des buts différents, seul celui de la recourante comprenant la rénovation. Il résulte de ce qui précède que la recourante a bien procédé à des travaux de rénovation pour le compte d'un tiers et employé deux travailleurs pour ce faire. A ce titre, elle était soumise à la CCT–SOR, comme l'a justement retenu le Tribunal. Par surabondance, il sera relevé que la Cour avait déjà statué en ce sens dans son arrêt du 17 août 2018, sur la base du même état de faits. Le recours est infondé et sera rejeté.</w:t>
      </w:r>
    </w:p>
    <w:p>
      <w:r>
        <w:rPr>
          <w:b/>
        </w:rPr>
        <w:t>E. 3</w:t>
      </w:r>
    </w:p>
    <w:p>
      <w:r>
        <w:t>Compte tenu de la valeur litigieuse et de la nature du litige, il n'est pas perçu de frais (art. 71 RTFMC) ni alloué de dépens (art. 22 al. 2 LaCC). * * * * *</w:t>
      </w:r>
    </w:p>
    <w:p>
      <w:r>
        <w:t>- 8/8 -</w:t>
      </w:r>
    </w:p>
    <w:p>
      <w:r>
        <w:t>C/26480/2019-CT PAR CES MOTIFS, La Chambre des prud'hommes, groupe CT : Rejette le recours interjeté le 2 novembre 2020 par A______ SÀRL contre le jugement JTPH/313/2020-CT du 1er octobre 2020, dans la mesure de sa recevabilité. Déboute les parties de toutes autres conclusions. Dit qu'il n'est pas perçu de frais ni alloué de dépens. Siégeant : Madame Pauline ERARD, présidente; Monsieur Vincent CANONICA, juge employeur, Monsieur Christian PITTET, juge employeur; Monsieur Willy KNOPFEL, juge salarié; Madame Shirin HATAM,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