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CAPH/82/2011 vom 21. Juni 2011</w:t>
      </w:r>
    </w:p>
    <w:p>
      <w:r>
        <w:t>GE Cour de justice, 2011-06-21, FR</w:t>
      </w:r>
    </w:p>
    <w:p>
      <w:r>
        <w:rPr>
          <w:b/>
        </w:rPr>
        <w:t xml:space="preserve">Quelle: </w:t>
      </w:r>
      <w:r>
        <w:t>https://mcp.opencaselaw.ch/entscheid/ge_gerichte_CAPH_82_2011</w:t>
      </w:r>
    </w:p>
    <w:p>
      <w:r>
        <w:t>FR: GE_GERICHTE CAPH/82/2011 du 21 juin 2011</w:t>
      </w:r>
    </w:p>
    <w:p>
      <w:r>
        <w:t>IT: GE_GERICHTE CAPH/82/2011 del 21 giugno 2011</w:t>
      </w:r>
    </w:p>
    <w:p>
      <w:pPr>
        <w:pStyle w:val="Heading2"/>
      </w:pPr>
      <w:r>
        <w:t>Regeste</w:t>
      </w:r>
    </w:p>
    <w:p>
      <w:r>
        <w:t>Résumé: Recours au TF rejeté par arrêt4A_489/2011du 10 janvier 2012.</w:t>
      </w:r>
    </w:p>
    <w:p>
      <w:pPr>
        <w:pStyle w:val="Heading2"/>
      </w:pPr>
      <w:r>
        <w:t>Erwägungen</w:t>
      </w:r>
    </w:p>
    <w:p>
      <w:r>
        <w:rPr>
          <w:b/>
        </w:rPr>
        <w:t>E. 1</w:t>
      </w:r>
    </w:p>
    <w:p>
      <w:r>
        <w:t>Aux termes de l'art. 405 al. 1 CPC entré en vigueur le 1er janvier 2011 (RS 272), les recours sont régis par le droit en vigueur au moment de la communication de la dé- cision entreprise.</w:t>
      </w:r>
    </w:p>
    <w:p>
      <w:r>
        <w:t>Par conséquent, le jugement attaqué ayant été notifié le 27 octobre 2010, la loi sur la juridiction des prud'hommes (aLJP) est applicable.</w:t>
      </w:r>
    </w:p>
    <w:p>
      <w:r>
        <w:rPr>
          <w:b/>
        </w:rPr>
        <w:t>E. 2</w:t>
      </w:r>
    </w:p>
    <w:p>
      <w:r>
        <w:t>Déposé dans la forme et les délais légaux (art. 59 aLJP), l'appel est recevable. La valeur litigieuse étant supérieure à 1'000 fr., la cause peut être portée devant la Cour d'appel (art. 56 al. 1 aLJP).</w:t>
      </w:r>
    </w:p>
    <w:p>
      <w:r>
        <w:rPr>
          <w:b/>
        </w:rPr>
        <w:t>E. 3</w:t>
      </w:r>
    </w:p>
    <w:p>
      <w:r>
        <w:t>L'appelant fait grief aux premiers juges d'avoir retenu qu'il aurait violé son devoir de fidélité, causant de la sorte un dommage de 59'500 fr. à l'intimée.</w:t>
      </w:r>
    </w:p>
    <w:p>
      <w:r>
        <w:rPr>
          <w:b/>
        </w:rPr>
        <w:t>E. 3.1</w:t>
      </w:r>
    </w:p>
    <w:p>
      <w:r>
        <w:t>L'art. 321a al. 1 CO prévoit que le travailleur exécute avec soin le travail qui lui est confié et sauvegarde fidèlement les intérêts légitimes de l'employeur.</w:t>
      </w:r>
    </w:p>
    <w:p>
      <w:r>
        <w:t>A raison de son obligation de fidélité, le travailleur est tenu de sauvegarder les inté- rêts légitimes de son employeur (art. 321a al. 1 CO) et, par conséquent, de s'abstenir de tout ce qui peut lui nuire. L'étendue du devoir de fidélité peut être élargie ou res- treinte par les parties (ATF 117 II 72 consid. 4a p. 74). Le comportement des cadres doit être apprécié avec une rigueur accrue en raison du crédit particulier et de la res- ponsabilité que leur confère leur fonction dans l'entreprise (ATF 127 III 86 consid. 2c p.89 et les références).</w:t>
      </w:r>
    </w:p>
    <w:p>
      <w:r>
        <w:t>Un employé peut, sans contrevenir à ses obligations découlant du contrat de travail, préparer une activité future en cours d'emploi. Il viole toutefois son devoir de fidéli- té lorsque ces préparatifs contreviennent au principe de la bonne foi. Tel est avant tout le cas lorsque le travailleur commence d'effectuer une activité concurrente pen- dant le délai de congé ou qu'il cherche à débaucher ses collègues ou soustraire la clientèle de son employeur (ATF 117 II 72 consid. 4a; 104 II 28 consid. 2, confirmé in arrêt du Tribunal fédéral 4C.221/2004 du 26 juillet 2004 consid. 2.2 et les réfé- rences citées).</w:t>
      </w:r>
    </w:p>
    <w:p>
      <w:r>
        <w:t>Cour de Justice /section civile</w:t>
      </w:r>
    </w:p>
    <w:p>
      <w:r>
        <w:t>Cause n° C/4795/2009 - 5 - 8 -</w:t>
      </w:r>
    </w:p>
    <w:p>
      <w:r>
        <w:t>* Chambre des prud'hommes *</w:t>
      </w:r>
    </w:p>
    <w:p>
      <w:r>
        <w:t>Selon l'art. 321e al. 1 CO, le travailleur répond du dommage qu'il cause à l'em- ployeur intentionnellement ou par négligence.</w:t>
      </w:r>
    </w:p>
    <w:p>
      <w:r>
        <w:rPr>
          <w:b/>
        </w:rPr>
        <w:t>E. 3.2</w:t>
      </w:r>
    </w:p>
    <w:p>
      <w:r>
        <w:t>En l'espèce, il est établi que l'appelant était un cadre de l'intimée, envers laquelle il était tenu à un devoir de fidélité accru.</w:t>
      </w:r>
    </w:p>
    <w:p>
      <w:r>
        <w:t>L'appelant ne conteste pas avoir informé les représentants de sociétés I______ et L______ de sa future démission de l'intimée; il affirme, toutefois qu'il n'a pas, ce faisant, violé son obligation de fidélité, puisqu'il aurait déclaré que la poursuite des cours pouvait se faire soit avec l'intimée, soit avec lui-même dans le cadre de la nouvelle structure. Il soutient, par ailleurs, n'avoir pas eu de contact avec J______, client auquel un de ses collègues avait fait mention de son départ.</w:t>
      </w:r>
    </w:p>
    <w:p>
      <w:r>
        <w:t>Les enquêtes ont accrédité cette version. Il résulte, en effet, des déclarations recueil- lies (témoins O______, S______) que l'appelant a bien indiqué aux clients I______ et L______, qui s'interrogeaient sur la suite des modules de formation, que celle-ci pourrait soit être son fait, mais par le biais d'une autre société, soit celui de l'intimée, mais par les soins d'un autre animateur.</w:t>
      </w:r>
    </w:p>
    <w:p>
      <w:r>
        <w:t>Dans ces circonstances, et contrairement à ce qu'a retenu le Tribunal, il ne peut être reproché à l'appelant d'avoir été infidèle à son employeur, en violation du prin- cipe.de la bonne foi. Il a, en effet, proposé à ses interlocuteurs de continuer à mandater l'intimée, ce qui était conforme à son devoir.</w:t>
      </w:r>
    </w:p>
    <w:p>
      <w:r>
        <w:t>Quant au client J______ (témoin D______), il n'a pas été démontré que l'appelant aurait fait la moindre déclaration ou démarche susceptibles de porter atteinte à son obligation de fidélité envers l'intimée.</w:t>
      </w:r>
    </w:p>
    <w:p>
      <w:r>
        <w:t>Par ailleurs, le directeur de l'intimée, comme il l'admet, avait accès à tous les cour- riers électroniques entrants dans l'entreprise, ce qui lui permettait d'être informé du contenu de ces correspondances. Pour le surplus, il n'a pas été démontré que l'appe- lant aurait renseigné correctement son employeur sur son activité de façon lacunaire.</w:t>
      </w:r>
    </w:p>
    <w:p>
      <w:r>
        <w:t>Faute de violation d'une obligation, l'appelant ne pouvait être tenu pour responsable d'un quelconque dommage; il n'est ainsi pas nécessaire d'examiner plus avant la ré- alité de celui-ci ni l'existence d'un lien de causalité.</w:t>
      </w:r>
    </w:p>
    <w:p>
      <w:r>
        <w:t>Le jugement attaqué sera donc annulé, et l'intimée déboutée de ses conclusions.</w:t>
      </w:r>
    </w:p>
    <w:p>
      <w:r>
        <w:rPr>
          <w:b/>
        </w:rPr>
        <w:t>E. 4</w:t>
      </w:r>
    </w:p>
    <w:p>
      <w:r>
        <w:t>L'appelant fait encore grief aux premiers juges d'avoir retenu la validité de la clause de non-concurrence contenue dans son contrat de travail.</w:t>
      </w:r>
    </w:p>
    <w:p>
      <w:r>
        <w:rPr>
          <w:b/>
        </w:rPr>
        <w:t>E. 4.1</w:t>
      </w:r>
    </w:p>
    <w:p>
      <w:r>
        <w:t>L'art. 340 al. 1 CO prévoit que le travailleur qui a l'exercice des droits civils peut s'engager par écrit envers l'employeur à s'abstenir après la fin du contrat de lui faire</w:t>
      </w:r>
    </w:p>
    <w:p>
      <w:r>
        <w:t>Cour de Justice /section civile</w:t>
      </w:r>
    </w:p>
    <w:p>
      <w:r>
        <w:t>Cause n° C/4795/2009 - 5 - 9 -</w:t>
      </w:r>
    </w:p>
    <w:p>
      <w:r>
        <w:t>* Chambre des prud'hommes *</w:t>
      </w:r>
    </w:p>
    <w:p>
      <w:r>
        <w:t>concurrence de quelque manière que ce soit, notamment d'exploiter pour son propre compte une entreprise concurrente, d'y travailler ou de s'y intéresser.</w:t>
      </w:r>
    </w:p>
    <w:p>
      <w:r>
        <w:t>Selon l'art. 340 al. 2 CO, la prohibition de faire concurrence n'est valable que si les rapports de travail permettent au travailleur d'avoir connaissance de la clientèle ou de secrets de fabrication ou d'affaires de l'employeur et si l'utilisation de ces rensei- gnements est de nature à causer à l'employeur un préjudice sensible.</w:t>
      </w:r>
    </w:p>
    <w:p>
      <w:r>
        <w:t>Le travailleur doit ainsi être amené, dans le cadre des rapports de travail, à connaître la clientèle ou des secrets de fabrication ou d'affaires de l'employeur, à telle ensei- gne qu'en cas de rupture des rapports de travail, il puisse causer un préjudice à ce dernier en exploitant les éléments dont il a acquis connaissance en étant à son ser- vice. Le défaut de l'une de ces conditions cumulatives entraîne la nullité de la clause de prohibition de concurrence (WYLER, Droit du travail, 2e éd. 2008, p. 596 ss; STREIFF/VON KAENEL, Arbeitsvertrag, 6e éd., n° 4 ad art. 340 CO; arrêt du Tri- bunal fédéral du 13 juillet 2007 4C.100/2006).</w:t>
      </w:r>
    </w:p>
    <w:p>
      <w:r>
        <w:t>Pour être qualifiées de secrets d'affaires ou de fabrication, les connaissances acqui- ses par le travailleur doivent toucher à des questions techniques, organisationnelles ou financières, qui sont spécifiques et que l'employeur veut garder secrètes. Les connaissances qui peuvent être obtenues dans toutes les entreprises de la même branche ressortissent à l'expérience professionnelle du travailleur et n'ont rien à voir avec des secrets. Il appartient à l'employeur d'établir que les connaissances litigieu- ses sont objectivement secrètes et qu'il entend qu'elles ne soient pas divulguées à l'extérieur de l'entreprise (SJ 1989 p. 683; AUBRY GIRARDIN, Aspects de la clau- se d'interdiction de concurrence, in Journée 1996 de droit du travail et de la sécurité sociale, Zurich 1999, p. 9/10; AUBERT, Commentaire romand, n° 3 ss ad art. 340 CO).</w:t>
      </w:r>
    </w:p>
    <w:p>
      <w:r>
        <w:t>La validité de la clause dépend du risque du préjudice sensible qu'entraîne pour l'employeur une éventuelle activité concurrente du salarié. Le risque de causer un tel préjudice à l'employeur, par l'utilisation de la connaissance de la clientèle et des se- crets d'affaires, doit être apprécié selon l'expérience générale. Il est évalué abstrai- tement sur la base de la situation telle qu'elle se présente pendant la durée de l'em- ploi, et non pas après l'engagement du travailleur par un nouvel employeur. L'ab- sence de risque concret, dans l'entreprise concurrente, n'affecte pas la validité de la clause (AUBERT, op. cit. ad art. 340 n. 8; SJ 1989 683).</w:t>
      </w:r>
    </w:p>
    <w:p>
      <w:r>
        <w:t>Le contrat ne peut interdire que la concurrence exercée grâce à la connaissance de la clientèle et de ses besoins. En revanche, le salarié reste libre d'attirer la clientèle grâce à ses qualités personnelles et à son expérience professionnelle (AUBERT, op. cit. ad art. 340 n. 9). Dans l'exercice des professions libérales, même sous la forme d'un contrat de travail, les relations entre le travailleur et la clientèle ont essentielle- ment un caractère personnel fondé sur la compétence ou la personne du travailleur. Il se crée ainsi, entre le travailleur et le client, un rapport de confiance particulier qui a la prééminence sur le cercle de clientèle, de sorte que la connaissance de la clien-</w:t>
      </w:r>
    </w:p>
    <w:p>
      <w:r>
        <w:t>Cour de Justice /section civile</w:t>
      </w:r>
    </w:p>
    <w:p>
      <w:r>
        <w:t>Cause n° C/4795/2009 - 5 - 10 -</w:t>
      </w:r>
    </w:p>
    <w:p>
      <w:r>
        <w:t>* Chambre des prud'hommes *</w:t>
      </w:r>
    </w:p>
    <w:p>
      <w:r>
        <w:t>tèle n'est pas propre à causer un préjudice potentiel à l'employeur; celui-ci ne peut donc pas valablement imposer au travailleur une prohibition de concurrence. La ju- risprudence a retenu qu'il en allait ainsi des dentistes, des médecins, des pharma- ciens ou des avocats, mais pas d'un expert-comptable (WYLER, op. cit. p. 599 et les références citées).</w:t>
      </w:r>
    </w:p>
    <w:p>
      <w:r>
        <w:t>Le critère déterminant pour le rapport particulier est l'importance de la prestation de l'employé pour satisfaire le client. Plus le travailleur peut agir de façon créative et libre, plus ses qualités personnelles ont de poids. En revanche, lorsque le succès de la prestation de l'employé dépend prioritairement des offres en faveur des clients provenant de l'employeur, celui-ci doit être protégé d'une perte de sa clientèle (NEERACHER, Der arbeitsvertragliche Konkurrenzverbot, 2001, p. 39).</w:t>
      </w:r>
    </w:p>
    <w:p>
      <w:r>
        <w:rPr>
          <w:b/>
        </w:rPr>
        <w:t>E. 4.2</w:t>
      </w:r>
    </w:p>
    <w:p>
      <w:r>
        <w:t>En l'occurrence, la clause de prohibition de concurrence a été convenue par écrit; l'appelant a l'exercice des droits civils. Enfin, il est établi, et l'appelant l'admet, que celui-ci avait connaissance de la clientèle de l'intimée.</w:t>
      </w:r>
    </w:p>
    <w:p>
      <w:r>
        <w:t>S'agissant des méthodes et du matériel utilisé lors des séminaires dispensés à cette clientèle, il n'apparaît pas d'élément particulièrement original propre à l'intimée; en tout cas celle-ci ne fait pas la démonstration que les connaissances acquises à son service par l'employé étaient objectivement secrètes et devaient le rester. Il apparaît plutôt que ces connaissances relèvent de l'expérience acquise dans le domaine.</w:t>
      </w:r>
    </w:p>
    <w:p>
      <w:r>
        <w:t>En ce qui concerne le lien personnel, il est ressorti des auditions de témoins que la personnalité du formateur revêtait un caractère prépondérant dans le choix de celui- ci, la structure à laquelle il appartenait étant reléguée au second plan. Le succès d'une formation dans les ressources humaines repose, selon les déclarations recueil- lies, sur les qualités propres de celui qui la donne, qui bénéficie d'une importante la- titude pour se détacher des supports de cours fournis par l'employeur. L'appelant bé- néficiait, à cet égard, d'une appréciation très positive des bénéficiaires des cours.</w:t>
      </w:r>
    </w:p>
    <w:p>
      <w:r>
        <w:t>Ainsi, d'un point de vue abstrait, le risque de causer un préjudice à l'employeur du fait de la connaissance de celle-ci, doit être nié.</w:t>
      </w:r>
    </w:p>
    <w:p>
      <w:r>
        <w:t>Peu importe, dès lors, que des facteurs organisationnels propres aux clients aient, en sus de la personnalité de l'appelant, conduit ceux-ci à confier des formations à une structure concurrente de l'intimée, après la fin des rapports de travail ayant lié les parties.</w:t>
      </w:r>
    </w:p>
    <w:p>
      <w:r>
        <w:t>Dès lors, dans le cas particulier, la Cour considère que même s'il avait la connais- sance des clients de l'intimée, l'appelant n'a pas pu l'utiliser de sorte à causer à l'em- ployeur un préjudice sensible.</w:t>
      </w:r>
    </w:p>
    <w:p>
      <w:r>
        <w:t>Il en découle que la clause de prohibition de concurrence, et la peine convention- nelle qui lui était liée, contenue dans le contrat de travail n'était pas valable.</w:t>
      </w:r>
    </w:p>
    <w:p>
      <w:r>
        <w:t>Cour de Justice /section civile</w:t>
      </w:r>
    </w:p>
    <w:p>
      <w:r>
        <w:t>Cause n° C/4795/2009 - 5 - 11 -</w:t>
      </w:r>
    </w:p>
    <w:p>
      <w:r>
        <w:t>* Chambre des prud'hommes *</w:t>
      </w:r>
    </w:p>
    <w:p>
      <w:r>
        <w:t>Le jugement attaqué, qui retenait la solution inverse, sera donc annulé sur ce point, et l'intimée déboutée de ses conclusions.</w:t>
      </w:r>
    </w:p>
    <w:p>
      <w:r>
        <w:rPr>
          <w:b/>
        </w:rPr>
        <w:t>E. 5</w:t>
      </w:r>
    </w:p>
    <w:p>
      <w:r>
        <w:t>Vu les considérants qui précèdent, la conclusion de l'intimée tendant à la modifica- tion de la date de départ des intérêts moratoires sur le montant que lui avait alloué le jugement entrepris, n'a pas à être examinée, ni quant à sa recevabilité ni quant à son mérite.</w:t>
      </w:r>
    </w:p>
    <w:p>
      <w:r>
        <w:rPr>
          <w:b/>
        </w:rPr>
        <w:t>E. 6</w:t>
      </w:r>
    </w:p>
    <w:p>
      <w:r>
        <w:t>La procédure est gratuite (art. 76 aLJP).</w:t>
      </w:r>
    </w:p>
    <w:p>
      <w:r>
        <w:t>L'intimée qui succombe supportera l'émolument de mise au rôle (art. 78 al. 1 aLJP).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