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CAPH/6/2024 vom 25. Januar 2024</w:t>
      </w:r>
    </w:p>
    <w:p>
      <w:r>
        <w:t>GE Cour de justice, 2024-01-25, FR</w:t>
      </w:r>
    </w:p>
    <w:p>
      <w:r>
        <w:rPr>
          <w:b/>
        </w:rPr>
        <w:t xml:space="preserve">Quelle: </w:t>
      </w:r>
      <w:r>
        <w:t>https://mcp.opencaselaw.ch/entscheid/ge_gerichte_CAPH_6_2024</w:t>
      </w:r>
    </w:p>
    <w:p>
      <w:r>
        <w:t>FR: GE_GERICHTE CAPH/6/2024 du 25 janvier 2024</w:t>
      </w:r>
    </w:p>
    <w:p>
      <w:r>
        <w:t>IT: GE_GERICHTE CAPH/6/2024 del 25 gennaio 2024</w:t>
      </w:r>
    </w:p>
    <w:p>
      <w:pPr>
        <w:pStyle w:val="Heading2"/>
      </w:pPr>
      <w:r>
        <w:t>Erwägungen</w:t>
      </w:r>
    </w:p>
    <w:p>
      <w:r>
        <w:rPr>
          <w:b/>
        </w:rPr>
        <w:t>E. 1</w:t>
      </w:r>
    </w:p>
    <w:p>
      <w:r>
        <w:t>La décision ordonnant la suspension de la cause est une mesure d'instruction qui peut, conformément à l'art. 126 al. 2 CPC, faire l'objet du recours de l'art. 319 let. b ch. 1 CPC. Contrairement à une décision de refus de suspension, son admission peut faire l'objet d'un recours, sans que la condition d'un préjudice difficilement réparable au sens de l'art. 319 let. b ch. 2 CPC n'ait à être réalisée. Le recours doit être écrit et motivé, et déposé auprès de l'instance de recours dans un délai de dix jours à compter de la notification de la décision, dès lors que le prononcé de la suspension constitue une ordonnance d'instruction (art. 321 al. 1 et</w:t>
      </w:r>
    </w:p>
    <w:p>
      <w:r>
        <w:rPr>
          <w:b/>
        </w:rPr>
        <w:t>E. 2</w:t>
      </w:r>
    </w:p>
    <w:p>
      <w:r>
        <w:t>Dans le cadre d'un recours, le pouvoir d'examen de la Cour est limité à la violation du droit et à la constatation manifestement inexacte des faits (art. 320 CPC).</w:t>
      </w:r>
    </w:p>
    <w:p>
      <w:r>
        <w:rPr>
          <w:b/>
        </w:rPr>
        <w:t>E. 3</w:t>
      </w:r>
    </w:p>
    <w:p>
      <w:r>
        <w:t>Le recourant reproche au Tribunal d'avoir retenu qu'il était opportun de suspendre la procédure; il fait valoir une violation de l'art. 126 CPC, sans autre développement, et une violation du principe de célérité. Il se prévaut de ce que le caractère pénal des faits reprochés serait loin d'être évident, et que le juge civil n'est en tout état pas lié par ce qui résulte d'une procédure pénale.</w:t>
      </w:r>
    </w:p>
    <w:p>
      <w:r>
        <w:rPr>
          <w:b/>
        </w:rPr>
        <w:t>E. 3.1</w:t>
      </w:r>
    </w:p>
    <w:p>
      <w:r>
        <w:t>L'art. 126 al. 1 CPC prévoit que le tribunal peut ordonner la suspension de la procédure si des motifs d'opportunité le commandent. La procédure peut notamment être suspendue lorsque la décision dépend du sort d'un autre procès. Selon la jurisprudence, la suspension de procédure comporte toutefois le risque de retarder inutilement la procédure, de sorte qu'elle n'est admise qu'à titre exceptionnel, eu égard à l'exigence de célérité posée par l'art. 29 al. 1 Cst. (ATF 130 V 90 consid. 5; 119 II 386 consid. 1b et les références).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(arrêt du Tribunal fédéral 4P.143/2003 du 16 septembre 2003 consid. 2.2, publié in SJ 2004 I 146). Dans les cas limites, l'exigence de célérité l'emporte (ATF 135 III 127 consid. 3.4; 119 II 386 consid. 1b; arrêts du Tribunal fédéral 5A_545/2017 du 13 avril 2018 consid. 5.2; 5A_714/2014 du 2 décembre 2014 consid. 4.2; 5A_218/2013 du 17 avril 2013 consid. 3.1).</w:t>
      </w:r>
    </w:p>
    <w:p>
      <w:r>
        <w:t>- 5/7 -</w:t>
      </w:r>
    </w:p>
    <w:p>
      <w:r>
        <w:t>C/18774/2022-1</w:t>
      </w:r>
    </w:p>
    <w:p>
      <w:r>
        <w:rPr>
          <w:b/>
        </w:rPr>
        <w:t>E. 3.2</w:t>
      </w:r>
    </w:p>
    <w:p>
      <w:r>
        <w:t>En l'occurrence, la décision attaquée s'est limitée à retenir l'identité pour partie entre les faits visés dans la plainte pénale et les faits relevant de la présente procédure; elle n'a consacré aucun développement à l'exigence de célérité, pourtant expressément plaidée par le recourant, et qui doit être examinée dans la pesée des intérêts requise du juge avant toute décision de suspension.</w:t>
      </w:r>
    </w:p>
    <w:p>
      <w:r>
        <w:t>Le recourant ne remet pas en cause l'unique pan du raisonnement des premiers juges, tout en soulignant à raison l'indépendance des procédures pénale et civile. Il relève en revanche de façon pertinente que le Tribunal n'a pas examiné la condition du respect du principe de célérité; il soutient à cet égard la longueur potentielle du procès pénal, singulièrement sous l'angle des dispositions visées dans la plainte de l'intimée.</w:t>
      </w:r>
    </w:p>
    <w:p>
      <w:r>
        <w:t>Au demeurant, cette dernière n'a pas, lorsqu'elle a requis la suspension de la procédure au Tribunal, mis en exergue d'éléments concrets que seule une instruction pénale pourrait révéler. Elle n'a en effet développé aucune argumentation à l'appui de sa requête, se limitant à faire état de l'existence de l'instruction pénale en cours, à la suite de la plainte qu'elle a déposée.</w:t>
      </w:r>
    </w:p>
    <w:p>
      <w:r>
        <w:t>Par ailleurs, il est à noter que le Tribunal n'a, ainsi que le souligne le recourant, pas fait droit à cette requête immédiatement après avoir recueilli la détermination du précité, mais a ordonné le second échange d'écritures sollicité. Dans l'ordonnance attaquée, il n'a pas exposé ce qui, dans les réplique et duplique déposées, l'avait conduit nouvellement dans la voie de la suspension de la procédure, étant précisé que l'intimée n'a derechef pas présenté d'arguments à l'appui de sa conclusion; la production du procès-verbal de l'audience du Ministère public tend d'ailleurs à démontrer que l'apport de pièces de la procédure pénale, au fil de celle-ci, est compatible avec l'instruction parallèle de la présente procédure.</w:t>
      </w:r>
    </w:p>
    <w:p>
      <w:r>
        <w:t>En tout état, le risque de décisions contradictoires n'est pas apparent en l'espèce, les justes motifs en matière de licenciement immédiat ne dépendant pas de façon automatique de la réalisation d'une infraction pénale. Aucune mesure d'instruction spécifique que le Tribunal ne serait pas à même de conduire n'est évoquée par l'intimée. Enfin, la procédure pénale est susceptible de durer un temps indéfini à ce stade.</w:t>
      </w:r>
    </w:p>
    <w:p>
      <w:r>
        <w:t>Dès lors, au vu de l'ensemble des circonstances, l'exigence de célérité doit l'emporter dans la pesée des intérêts en présence.</w:t>
      </w:r>
    </w:p>
    <w:p>
      <w:r>
        <w:t>Il s'ensuit que la décision attaquée sera annulée.</w:t>
      </w:r>
    </w:p>
    <w:p>
      <w:r>
        <w:t>- 6/7 -</w:t>
      </w:r>
    </w:p>
    <w:p>
      <w:r>
        <w:t>C/18774/2022-1</w:t>
      </w:r>
    </w:p>
    <w:p>
      <w:r>
        <w:rPr>
          <w:b/>
        </w:rPr>
        <w:t>E. 4</w:t>
      </w:r>
    </w:p>
    <w:p>
      <w:r>
        <w:t>L'intimée qui succombe, supportera les frais du recours (art. 106 al. 1 CPC). Ceux-ci seront arrêtés à 300 fr. (41, 71 RTFMC), compensés avec l'avance opérée, acquise à l'Etat de Genève. L'intimée en remboursera le recourant. Il n'est pas alloué de dépens (art. 22 al. 2 LaCC). * * * * *</w:t>
      </w:r>
    </w:p>
    <w:p>
      <w:r>
        <w:t>- 7/7 -</w:t>
      </w:r>
    </w:p>
    <w:p>
      <w:r>
        <w:t>C/18774/2022-1 PAR CES MOTIFS, La Chambre des prud'hommes :</w:t>
      </w:r>
    </w:p>
    <w:p>
      <w:r>
        <w:t>A la forme : Déclare recevable le recours formé par A______ contre l'ordonnance de suspension de la procédure rendue par le Tribunal des prud'hommes le 19 septembre 2023. Au fond : Annule cette ordonnance. Déboute les parties de toute autre conclusion de recours. Sur les frais: Arrête les frais judiciaires du recours à 300 fr., compensés avec l'avance opérée, acquise à l'Etat de Genève, et les met à la charge de B______ SA. Condamne B______ SA à verser 300 fr. à A______. Rappelle qu'il n'est pas alloué de dépens. Siégeant : Madame Sylvie DROIN, présidente ; Madame Marie-Noëlle FAVARGER SCHMIDT, Monsieur Roger EMMENEGGER,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