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CAPH/69/2023 vom 23. Juni 2023</w:t>
      </w:r>
    </w:p>
    <w:p>
      <w:r>
        <w:t>GE Cour de justice, 2023-06-23, FR</w:t>
      </w:r>
    </w:p>
    <w:p>
      <w:r>
        <w:rPr>
          <w:b/>
        </w:rPr>
        <w:t xml:space="preserve">Quelle: </w:t>
      </w:r>
      <w:r>
        <w:t>https://mcp.opencaselaw.ch/entscheid/ge_gerichte_CAPH_69_2023</w:t>
      </w:r>
    </w:p>
    <w:p>
      <w:r>
        <w:t>FR: GE_GERICHTE CAPH/69/2023 du 23 juin 2023</w:t>
      </w:r>
    </w:p>
    <w:p>
      <w:r>
        <w:t>IT: GE_GERICHTE CAPH/69/2023 del 23 giugno 2023</w:t>
      </w:r>
    </w:p>
    <w:p>
      <w:pPr>
        <w:pStyle w:val="Heading2"/>
      </w:pPr>
      <w:r>
        <w:t>Erwägungen</w:t>
      </w:r>
    </w:p>
    <w:p>
      <w:r>
        <w:rPr>
          <w:b/>
        </w:rPr>
        <w:t>E. 1.1</w:t>
      </w:r>
    </w:p>
    <w:p>
      <w:r>
        <w:t>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319 let. a et 321 al. 1 CPC).</w:t>
      </w:r>
    </w:p>
    <w:p>
      <w:r>
        <w:rPr>
          <w:b/>
        </w:rPr>
        <w:t>E. 1.2</w:t>
      </w:r>
    </w:p>
    <w:p>
      <w:r>
        <w:t>En l'espèce, les dernières conclusions de première instance étaient inférieures à 10'000 fr., de sorte que la voie du recours est ouverte. Interjeté auprès de l'autorité compétente (art. 124 let. a LOJ), dans les délai et forme prescrits par la loi, le recours est recevable.</w:t>
      </w:r>
    </w:p>
    <w:p>
      <w:r>
        <w:rPr>
          <w:b/>
        </w:rPr>
        <w:t>E. 1.3</w:t>
      </w:r>
    </w:p>
    <w:p>
      <w:r>
        <w:t>Le recours peut être formé pour la violation du droit et la constatation manifestement inexacte des faits (art. 320 CPC). Ce dernier grief se recoupe avec celui d'arbitraire dans l'établissement des faits ou dans l'appréciation des preuves (JEANDIN, in Commentaire romand, Code de procédure civile, 2019, 2ème éd., n. 5 ad art. 320 CPC). La cause est soumise à la procédure simplifiée (art. 243 al. 1 CPC).</w:t>
      </w:r>
    </w:p>
    <w:p>
      <w:r>
        <w:rPr>
          <w:b/>
        </w:rPr>
        <w:t>E. 2</w:t>
      </w:r>
    </w:p>
    <w:p>
      <w:r>
        <w:t>La recourante reproche au Tribunal d'avoir considéré que l'intimée avait droit au bonus qu'elle réclamait. Elle expose qu'il s'agissait d'une gratification discrétionnaire et qu'il appartenait à l'employée de démontrer que celle-ci avait</w:t>
      </w:r>
    </w:p>
    <w:p>
      <w:r>
        <w:t>- 6/12 -</w:t>
      </w:r>
    </w:p>
    <w:p>
      <w:r>
        <w:t>C/13625/2020-5 droit à la gratification nonobstant l'extinction des rapports contractuels et non pas à l'employeuse de prouver qu'elle n'y avait pas droit. Le Tribunal n'avait pas tenu compte du fait qu'elle avait allégué que le but du versement du bonus litigieux était d'encourager les employés et de développer le centre. Constatant ainsi que ledit but était uniquement celui de récompenser les employés, il était parvenu au constat erroné que le principe d'égalité de traitement avait été violé. A cet égard encore, aucun autre employé dont le contrat avait été résilié n'avait perçu de bonus.</w:t>
      </w:r>
    </w:p>
    <w:p>
      <w:r>
        <w:rPr>
          <w:b/>
        </w:rPr>
        <w:t>E. 2.1</w:t>
      </w:r>
    </w:p>
    <w:p>
      <w:r>
        <w:t>Dans plusieurs arrêts récents, le Tribunal fédéral a eu l'occasion de résumer l'ensemble de sa jurisprudence relative aux bonus (arrêts du Tribunal fédéral 4A_327/2019 du 1er mai 2020 consid. 3.1; 4A_230/2019 du 20 septembre 2019 consid. 3 et les arrêts cités). Il en résulte qu'il faut distinguer les trois cas suivants: (1) le salaire variable, (2) la gratification à laquelle l'employé a droit et (3) la gratification à laquelle il n'a pas droit.</w:t>
      </w:r>
    </w:p>
    <w:p>
      <w:r>
        <w:rPr>
          <w:b/>
        </w:rPr>
        <w:t>E. 2.1.1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 Il y a un droit à la gratification – cas n° 2 – lorsque, par contrat, les parties sont tombées d'accord sur le principe du versement d'un bonus et n'en ont réservé que le montant; il s'agit d'une gratification que l'employeur est tenu de verser, mais il</w:t>
      </w:r>
    </w:p>
    <w:p>
      <w:r>
        <w:t>- 7/12 -</w:t>
      </w:r>
    </w:p>
    <w:p>
      <w:r>
        <w:t>C/13625/2020-5 jouit d'une certaine liberté dans la fixation du montant à allouer (ATF 136 III 313 consid. 2; arrêt du Tribunal fédéral 4A_327/2019 précité consid. 3.1.3.1).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l'employeur jouissant d'une certaine liberté dans la fixation de son montant au cas où les montants étaient variables (arrêt du Tribunal fédéral 4A_327/2019 précité ibidem).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4A_327/2019 précité ibidem).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w:t>
      </w:r>
    </w:p>
    <w:p>
      <w:r>
        <w:rPr>
          <w:b/>
        </w:rPr>
        <w:t>E. 2.1.2</w:t>
      </w:r>
    </w:p>
    <w:p>
      <w:r>
        <w:t>Le caractère facultatif de la gratification trouve ses limites dans le respect de l'égalité de traitement. Selon ce principe, l'employeur doit, dans l'attribution du bonus, traiter de manière égale les travailleurs se trouvant dans une situation semblable (ATF 129 III 276 consid. 3.1; arrêts du Tribunal fédéral 4A_651/2017 du 4 avril 2018 consid 3.3; 4A_172/2012 et 4A_174/2012 du 22 août 2012 consid. 8.2).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w:t>
      </w:r>
    </w:p>
    <w:p>
      <w:r>
        <w:t>- 8/12 -</w:t>
      </w:r>
    </w:p>
    <w:p>
      <w:r>
        <w:t>C/13625/2020-5 avantageuse qu'un grand nombre d'autres employés; tel n'est en revanche pas le cas lorsque l'employeur favorise simplement quelques employés (ATF 129 III 276 consid. 3.1 et les références citées; arrêts du Tribunal fédéral 4A_651/2017 du</w:t>
      </w:r>
    </w:p>
    <w:p>
      <w:r>
        <w:rPr>
          <w:b/>
        </w:rPr>
        <w:t>E. 2.1.3</w:t>
      </w:r>
    </w:p>
    <w:p>
      <w:r>
        <w:t>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w:t>
      </w:r>
    </w:p>
    <w:p>
      <w:r>
        <w:t>- 9/12 -</w:t>
      </w:r>
    </w:p>
    <w:p>
      <w:r>
        <w:t>C/13625/2020-5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w:t>
      </w:r>
    </w:p>
    <w:p>
      <w:r>
        <w:rPr>
          <w:b/>
        </w:rPr>
        <w:t>E. 2.2</w:t>
      </w:r>
    </w:p>
    <w:p>
      <w:r>
        <w:t>En l'espèce, la qualification du bonus litigieux en gratification n'est pas contestée en appel. Demeure litigieuse la question de savoir si l'intimée y a droit (cas n° 2) ou non (cas n° 3) et, dans ce dernier cas, si le refus viole le principe d'égalité de traitement.</w:t>
      </w:r>
    </w:p>
    <w:p>
      <w:r>
        <w:rPr>
          <w:b/>
        </w:rPr>
        <w:t>E. 2.2.1</w:t>
      </w:r>
    </w:p>
    <w:p>
      <w:r>
        <w:t>Le contrat de travail conclu entre les parties prévoyait un "bonus" aux art. 1 à 4, lequel est en réalité une partie intégrante du salaire calculée sur la base du chiffre d'affaires réalisé par l'employé (cas n° 1). Cet élément de la rémunération de l'intimée n'est pas objet de litige. Aucun autre "bonus", "prime" ou "gratification" n'a été expressément convenu entre les parties, ni annoncé par l'employeur à la conclusion du contrat. L'intimée a admis avoir été surprise en décembre 2017 de percevoir le montant supplémentaire de 1'042 fr. Les parties n'étaient ainsi pas tombées d'accord sur le principe, le régime et/ou la quotité de cette gratification à la conclusion du contrat. Elle émane de la seule initiative de l'appelante au cours des rapports de travail. Le bonus litigieux, au moment de la résiliation des rapports de travail, n'avait été versé que deux années consécutives, ce qui ne permet pas de soutenir qu'il serait devenu tacitement un élément obligatoire de la rémunération, et son caractère facultatif ressort de l'intitulé "bonus exceptionnel" ou "prime exceptionnelle" indiqué dans les fiches de salaire. Rien ne permet de retenir que ces intitulés représenteraient une simple formule vide de sens, après deux paiements consécutifs, et l'intimée n'allègue aucune circonstance permettant de retenir le contraire, ni d'ailleurs qu'elle aurait compris de l'attitude de l'appelante que ce bonus lui était garanti nonobstant son qualificatif d'exceptionnel. Il ressort des allégués de l'intimée qu'elle aurait compris que le bonus litigieux était une participation à la marche des affaires, versée automatiquement, sans autre explication ni motivation. Elle ne précise pas sur quels critères cet élément de rémunération serait calculé et versé alors qu'une part variable fondée sur le chiffre d'affaires était déjà convenue aux art. 1 à 4 du contrat. Rien au dossier ne permet de constater que le comportement de la recourante ait pu faire penser qu'elle s'engageait à verser un bonus en 2017 et 2018 en sus du bonus prévu dans le contrat de travail aux chiffres 1 à 4 ni sur quelle base elle le calculerait.</w:t>
      </w:r>
    </w:p>
    <w:p>
      <w:r>
        <w:t>- 10/12 -</w:t>
      </w:r>
    </w:p>
    <w:p>
      <w:r>
        <w:t>C/13625/2020-5 A l'inverse, l'appelante a exposé quelques principes guidant le versement du bonus – que l'intimée ne remet pas valablement en cause – dont plusieurs éléments permettent de confirmer le caractère aléatoire et discrétionnaire. Il dépend d'une décision des actionnaires et de la disponibilité d'une enveloppe dont on ne connaît ni l'origine, ni les contours. Le bonus n'est pas versé toutes les années car il dépend de la marche des affaires, sans que l'on sache dans quelle mesure. L'appelante a manifesté à plusieurs reprises, après l'éclatement du litige et au cours de la présente procédure, qu'elle souhaitait maintenir le caractère aléatoire de cette gratification, ce qu'elle a formalisé dans les nouveaux contrats de travail. Le fait qu'elle ne communique pas précisément le régime du bonus litigieux à ses employés et dans le cadre de la présente procédure montre suffisamment qu'elle ne souhaite pas se lier et conserver son caractère discrétionnaire. Il ne peut donc être retenu, que ce soit en recourant à l'interprétation subjective ou à l'interprétation objective en vertu du principe de la confiance, que les parties auraient convenu par actes concluants du versement du bonus litigieux. En tout état, il incombait à l'intimée – et non à la recourante comme retenu à tort par le Tribunal – de démontrer que les parties avaient convenu que le bonus litigieux était non seulement dû, mais qu'il l'était également au-delà de l'extinction des rapports de travail. Or, aucun élément au dossier ne permet de constater que tel aurait été le cas. Les explications de l'appelante selon lesquelles le bonus avait pour but d'encourager les collaborateurs et de favoriser le développement du centre, soit des objectifs de fidélisation et de rentabilité future, impliquent qu'un versement au-delà de la fin des rapports de travail n'aurait aucun sens. Le fait que le bonus soit versé au moyen d'une enveloppe constituée plus d'un an avant son paiement est un indice supplémentaire du fait qu'il a pour finalité la fidélisation et l'encouragement du collaborateur et non la rétribution de sa productivité passée, déjà largement récompensée par le "bonus" au sens des art. 1 à 4 du contrat. Il découle de ce qui précède que la gratification litigieuse doit être qualifiée de discrétionnaire (cas n° 3), étant encore relevé que l'intimée ne soutient pas que son bonus devrait être requalifié en salaire en vertu du principe de l'accessoriété, à juste titre vu son montant insignifiant au regard des autres éléments de rémunération. La recourante disposait ainsi de la liberté de verser ou non cette gratification à l'intimée, sous réserve du principe d'égalité de traitement entre les employés qu'il y a lieu d'examiner.</w:t>
      </w:r>
    </w:p>
    <w:p>
      <w:r>
        <w:rPr>
          <w:b/>
        </w:rPr>
        <w:t>E. 2.2.2</w:t>
      </w:r>
    </w:p>
    <w:p>
      <w:r>
        <w:t>L'intimée n'allègue pas et ne démontre pas que d'autres employés licenciés auraient touché, après la fin des rapports de travail, le bonus dont elle aurait été privée et ne mentionne aucun nom à cet égard. Elle n'a pas non plus fourni de liste de témoins licenciés permettant de le confirmer cas échéant, alors que les parties y avaient été expressément invitée par le Tribunal. Elle n'allègue donc pas, ni n'offre de prouver une inégalité de traitement entre employés licenciés, laquelle aurait</w:t>
      </w:r>
    </w:p>
    <w:p>
      <w:r>
        <w:t>- 11/12 -</w:t>
      </w:r>
    </w:p>
    <w:p>
      <w:r>
        <w:t>C/13625/2020-5 sans doute conduit à l'octroi de la prétention invoquée en justice. En réalité, l'intimée allègue avoir été victime d'une inégalité de traitement en relation avec le bonus touché par les employés restés en place, car elle estime avoir participé aux résultats 2018. Sa situation ne saurait toutefois être comparée à celle des employés de la recourante encore en poste en décembre 2019. Elle ne peut se prévaloir de la doctrine susmentionnée – que le Tribunal fédéral n'a de surcroît pas confirmée – selon laquelle un bonus, destiné à récompenser a posteriori le travail accompli et les résultats obtenus, ne peut être refusé à un employé licencié, alors que les employés restés en place en bénéficieraient. En l'occurrence, selon les affirmations de l'appelante, que l'intimée ne remet pas valablement en cause alors qu'elle en a la charge, le bonus litigieux a une finalité de fidélisation et d'encouragement des employés en poste. L'intimée n'étant plus employée depuis une année et n'appartenait donc plus au cercle des bénéficiaires au moment de la décision d'octroi et elle ne saurait donc se prévaloir d'un traitement inégalitaire. L'intimée n'allègue par ailleurs aucun autre motif discriminatoire visant à l'atteindre dans sa personnalité.</w:t>
      </w:r>
    </w:p>
    <w:p>
      <w:r>
        <w:rPr>
          <w:b/>
        </w:rPr>
        <w:t>E. 2.2.3</w:t>
      </w:r>
    </w:p>
    <w:p>
      <w:r>
        <w:t>Compte tenu de ce qui précède, il apparaît que la décision de la recourante de ne pas accorder de gratification discrétionnaire à l'intimée était fondée sur un motif pertinent. Les conditions permettant de condamner la recourante à verser une telle gratification à l'intimée pour l'année 2018, en application du principe de l'égalité de traitement, ne sont pas réalisées, contrairement à ce qu'a retenu le Tribunal. Par conséquent, le recours est admis, le chiffre 2 du dispositif du jugement entrepris sera annulé et l'intimé sera débouté de ses conclusions. 3. Au vu de la nature du litige et compte tenu de la valeur litigieuse, il ne sera pas perçu de frais judiciaires (art. 114 let. c et 116 CPC; 19 al. 3 let. c LaCC) ni alloué de dépens (art. 22 al. 2 LaCC).</w:t>
      </w:r>
    </w:p>
    <w:p>
      <w:r>
        <w:t>- 12/12 -</w:t>
      </w:r>
    </w:p>
    <w:p>
      <w:r>
        <w:t>C/13625/2020-5 PAR CES MOTIFS, La Chambre des prud'hommes, groupe 5 : A la forme : Déclare recevable le recours formé le 20 avril 2021 par A______ SA contre le jugement JTPH/88/2021 rendu le 11 mars 2021 par le Tribunal des prud'hommes dans la cause C/13625/2020-5. Au fond : L'admet. Annule le chiffre 2 du dispositif du jugement entrepris et, statuant à nouveau sur ce point : Déboute B______ de toutes ses conclusions. Déboute les parties de toutes autres conclusions. Sur les frais : Dit qu'il n'est pas perçu de frais judiciaires ni alloué de dépens de recours. Siégeant : Monsieur Jean REYMOND, président; Monsieur Michael RUDERMANN, juge employeur; Monsieur Willy KNOPFEL, juge salarié; Monsieur Javier BARBEITO, greffier.</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4</w:t>
      </w:r>
    </w:p>
    <w:p>
      <w:r>
        <w:t>avril 2018 consid 3.3; 4A_63/2007 du 6 juillet 2017 consid. 4.2). Le principe de l'égalité de traitement des travailleurs ne s'applique que dans une mesure restreinte, en ce sens que des travailleurs ne doivent pas être privés de la gratification d'une manière arbitraire ou pour des motifs non pertinents (Message du Conseil fédéral du 25 août 1967 concernant la révision des titres dixième et dixième bis du code des obligations (Du contrat de travail) [FF 1967 II 249], p. 328). La jurisprudence et la doctrine évoquent comme critère de distinction pertinent le fait que les rapports de travail ont été résiliés au moment où le bonus devrait être payé (arrêts du Tribunal fédéral 4A_651/2017 du 4 avril 2018 consid. 3.3 et 3.6.2; 4A_502/2010 du 1er décembre 2010 consid. 2.2; 4A_235/2010 du 25 juin 2010 consid. 2; 4A_509/2008 du 3 février 2009 consid. 4.1; 4C.467/2004 du 1er avril 2005 consid. 3).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(BRÜHWILER, Einzelarbeitsvertrag, 3ème éd. 2014, n° 1 ad art. 322d CO; STAEHLIN, Zürcher Kommentar, 4ème éd. 2006, n° 2 ad art. 322d CO). Dans la mesure où la gratification est destinée uniquement à récompenser l'employé pour le travail effectué, elle ne saurait être réduite ou supprimée pour le motif que le contrat a été résilié (PORTMANN/RUDOLPH, in Basler Kommentar, 6ème éd. 2015, n° 8 ad art. 322d CO; BRÜHWILER, op. cit., n° 5 ad art. 322d CO). Cet argument a été mentionné par le Tribunal fédéral dans un obiter dictum, repris dans un autre arrêt récent, mais n'a pas été tranché (arrêts du Tribunal fédéral 4A_327/2019 du 1er mai 2020 consid. 3.6.2; 4A_651/2017 du 4 avril 2018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