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CAPH/68/2022 vom 17. Mai 2022</w:t>
      </w:r>
    </w:p>
    <w:p>
      <w:r>
        <w:t>GE Cour de justice, 2022-05-17, FR</w:t>
      </w:r>
    </w:p>
    <w:p>
      <w:r>
        <w:rPr>
          <w:b/>
        </w:rPr>
        <w:t xml:space="preserve">Quelle: </w:t>
      </w:r>
      <w:r>
        <w:t>https://mcp.opencaselaw.ch/entscheid/ge_gerichte_CAPH_68_2022</w:t>
      </w:r>
    </w:p>
    <w:p>
      <w:r>
        <w:t>FR: GE_GERICHTE CAPH/68/2022 du 17 mai 2022</w:t>
      </w:r>
    </w:p>
    <w:p>
      <w:r>
        <w:t>IT: GE_GERICHTE CAPH/68/2022 del 17 maggio 2022</w:t>
      </w:r>
    </w:p>
    <w:p>
      <w:pPr>
        <w:pStyle w:val="Heading2"/>
      </w:pPr>
      <w:r>
        <w:t>Erwägungen</w:t>
      </w:r>
    </w:p>
    <w:p>
      <w:r>
        <w:rPr>
          <w:b/>
        </w:rPr>
        <w:t>E. 1.1</w:t>
      </w:r>
    </w:p>
    <w:p>
      <w:r>
        <w:t>En tant qu'elle admet un moyen de preuves, la décision querellée est une ordonnance de preuves au sens de l'art. 154 CPC, susceptible de recours immédiat aux conditions restrictives de l'art. 319 let. b ch. 2 CPC, soit lorsqu'elle est de nature à causer un préjudice difficilement réparable (ACJC/241/2015 consid. 1.1; ACJC/1234/2014 consid. 1.1; ACJC/1292 /2013 consid. 1.1; ACJC/734/2013 consid. 1.1).</w:t>
      </w:r>
    </w:p>
    <w:p>
      <w:r>
        <w:rPr>
          <w:b/>
        </w:rPr>
        <w:t>E. 1.2</w:t>
      </w:r>
    </w:p>
    <w:p>
      <w:r>
        <w:t>Le recours a été interjeté dans le délai de dix jours et suivant la forme prévue par la loi (art. 130, 131, 142 al. 3 et 321 al. 2 et 3 CPC). 1.3.1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 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1.3.2 L'injonction de produire les états financiers révisés des années 2017 à 2019 est susceptible de causer un préjudice difficilement réparable à la recourante, puisqu'une fois le document transmis dans son intégralité, cette dernière ne pourrait plus en obtenir la confidentialité dans le cadre d'une remise en cause de la décision sur le fond. Il convient en conséquence d'entrer en matière sur le recours. Le recours est par conséquent recevable.</w:t>
      </w:r>
    </w:p>
    <w:p>
      <w:r>
        <w:rPr>
          <w:b/>
        </w:rPr>
        <w:t>E. 2</w:t>
      </w:r>
    </w:p>
    <w:p>
      <w:r>
        <w:t>La recourante reproche au Tribunal des prud'hommes d'avoir donné suite à la demande de production de titres requise par sa partie adverse. 2.1.1 Selon l'art. 150 CPC, la preuve n'a pour objet que des faits pertinents et contestés. Les faits pertinents sont ceux propres à influencer la solution juridique du litige). Le droit d'être entendu garanti par l'art. 29 al. 2 Cst inclut le droit à</w:t>
      </w:r>
    </w:p>
    <w:p>
      <w:r>
        <w:t>- 5/7 -</w:t>
      </w:r>
    </w:p>
    <w:p>
      <w:r>
        <w:t>C/22560/2020-4 l'administration des preuves valablement offertes, à moins que le fait à prouver ne soit dépourvu de pertinence ou que la preuve apparaisse manifestement inapte à la révélation de la vérité. Par ailleurs, le juge est autorité à effectuer une appréciation anticipée des preuves déjà disponibles et, s'il peut admettre de façon exempte d'arbitraire qu'une preuve supplémentaire offerte par une partie serait impropre à ébranler sa conviction, refuser d'administrer cette preuve (arrêts du Tribunal fédéral 4A_487/2018 du 30 janvier 2019 consid. 4.2.1 ; 4A_229/2012 du 19 juillet 2012 consid. 4). Une recherche ad explorandum (fishing expedition) est contraire aux principes régissant le droit de procédure, selon lesquels l'obligation de production ne peut porter que sur les documents destinés à prouver des faits connus et allégués par une partie (arrêt du Tribunal fédéral 5A_295/2009 du 23 décembre 2009 consid. 2, SJ 2010 I p. 401; SCHMID, in Schweizerische Zivilprozessordnung (Basler Kommentar), 2017, n. 24 ad art. 160). 2.1.2 Les parties et les tiers sont tenus de collaborer à l'administration des preuves; ils ont en particulier l'obligation de produire les titres requis (art. 160 al. 1 let. b CPC). Le Tribunal ordonne les mesures propres à éviter que l'administration des preuves ne porte atteinte à des intérêts dignes de protection des parties ou de tiers, notamment à des secrets d'affaires (art. 156 CPC). Les secrets d'affaires couvrent en général les données techniques, organisationnelles, commerciales et financières qui sont spécifiques à une entreprise, qui peuvent notamment avoir une incidence sur le résultat commercial et que l'entrepreneur veut garder secrètes (ATF 109 Ib 47 consid. 5c).</w:t>
      </w:r>
    </w:p>
    <w:p>
      <w:r>
        <w:rPr>
          <w:b/>
        </w:rPr>
        <w:t>E. 2.2</w:t>
      </w:r>
    </w:p>
    <w:p>
      <w:r>
        <w:t>En l'espèce, la recourante soutient à juste titre que les pièces litigieuses, dont l'intimée requiert la production, ne sont pas pertinentes pour l'issue du litige. Il est vrai que les parties s'opposent, dans leurs écritures, sur les raisons pour lesquelles la recourante a procédé à une réduction de salaire à l'intimée entre avril 2018 et avril 2019, la recourante faisant valoir des difficultés financières dont la réalité est remise en cause par l'intimée. Ces faits ne sont toutefois d'aucune incidence sur la solution du litige, puisque l'intimée admet avoir perçu les arriérés de salaire correspondant à cette baisse de salaire temporaire et qu'elle ne formule aucune prétention à cet égard. La différence de salaire dont l'intimée réclame le paiement dans la présente procédure ne présente aucun lien avec ces faits, puisqu'elle consiste dans la différence entre la rémunération que les parties auraient, selon l'intimée, oralement convenue avant la signature du contrat écrit, et le salaire effectivement prévu dans ce contrat écrit.</w:t>
      </w:r>
    </w:p>
    <w:p>
      <w:r>
        <w:t>- 6/7 -</w:t>
      </w:r>
    </w:p>
    <w:p>
      <w:r>
        <w:t>C/22560/2020-4</w:t>
      </w:r>
    </w:p>
    <w:p>
      <w:r>
        <w:t>S'agissant enfin des prétentions en réparation du tort moral que l'intimée fonde sur une atteinte à sa personnalité, l'existence d'une telle atteinte s'examinera au regard des propos et agissements que l'intimée reproche à son employeur d'avoir tenus à son égard en vue de la dénigrer, pris dans leur ensemble, sans que le bien-fondé des motifs invoqués par la recourante pour justifier la réduction temporaire de salaire ne soit déterminante.</w:t>
      </w:r>
    </w:p>
    <w:p>
      <w:r>
        <w:t>Il s'ensuit que les états financiers de la recourante pour les années 2017 à 2019 ne sont pas déterminants pour trancher le litige opposant les parties.</w:t>
      </w:r>
    </w:p>
    <w:p>
      <w:r>
        <w:t>Il se justifie, partant, d'admettre le recours, d'annuler le chiffre premier du dispositif de l'ordonnance entreprise et de rejeter la requête de l'intimée tendant à la production de ces pièces par la recourante.</w:t>
      </w:r>
    </w:p>
    <w:p>
      <w:r>
        <w:rPr>
          <w:b/>
        </w:rPr>
        <w:t>E. 3</w:t>
      </w:r>
    </w:p>
    <w:p>
      <w:r>
        <w:t>Les frais judiciaires du recours seront arrêtés à 300 fr., frais relatifs à la décision sur effet suspensif compris, et compensés avec l'avance fournie, qui reste acquise à l'Etat de Genève (art. 24, 68 et 71 RTFMC; art. 111 al. 1 CPC). Ils seront mis à la charge de l'intimée, qui succombe (art. 106 al. 1 CPC). Cette dernière sera en conséquence condamnée à verser 300 fr. à la recourante à titre de frais judiciaires de recours (art. 111 al. 2 CPC). Il n'est pas alloué de dépens (art. 22 al. 2 LaCC). * * * * *</w:t>
      </w:r>
    </w:p>
    <w:p>
      <w:r>
        <w:t>- 7/7 -</w:t>
      </w:r>
    </w:p>
    <w:p>
      <w:r>
        <w:t>C/22560/2020-4 PAR CES MOTIFS, La Chambre des prud'hommes, groupe 4 :</w:t>
      </w:r>
    </w:p>
    <w:p>
      <w:r>
        <w:t>A la forme : Déclare recevable le recours formé par A______ SA le 28 janvier 2022 contre le chiffre 1er du dispositif de l'ordonnance rendue le 20 janvier 2022 dans la cause C/22560/2020. Au fond : Annule le chiffre 1er de cette ordonnance et statuant à nouveau sur ce point : Rejette la requête de B______ tendant à la production par A______ SA des états financiers révisés des années 2017 à 2019. Arrête les frais judiciaires de recours à 300 fr., les met à la charge de B______ et les compense avec l'avance fournie, qui reste acquise à l'Etat de Genève. Condamne B______ à verser 300 fr. à A______ SA à titre de frais judiciaires de recours. Dit qu'il n'y a pas lieu à l'allocation de dépens. Siégeant : Madame Ursula ZEHETBAUER GHAVAMI, présidente; Madame, Nadia FAVRE,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