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CAPH/65/2024 vom 22. Dezember 2023</w:t>
      </w:r>
    </w:p>
    <w:p>
      <w:r>
        <w:t>GE Cour de justice, 2023-12-22, FR</w:t>
      </w:r>
    </w:p>
    <w:p>
      <w:r>
        <w:rPr>
          <w:b/>
        </w:rPr>
        <w:t xml:space="preserve">Quelle: </w:t>
      </w:r>
      <w:r>
        <w:t>https://mcp.opencaselaw.ch/entscheid/ge_gerichte_CAPH_65_2024</w:t>
      </w:r>
    </w:p>
    <w:p>
      <w:r>
        <w:t>FR: GE_GERICHTE CAPH/65/2024 du 22 décembre 2023</w:t>
      </w:r>
    </w:p>
    <w:p>
      <w:r>
        <w:t>IT: GE_GERICHTE CAPH/65/2024 del 22 dicembre 2023</w:t>
      </w:r>
    </w:p>
    <w:p>
      <w:pPr>
        <w:pStyle w:val="Heading2"/>
      </w:pPr>
      <w:r>
        <w:t>Erwägungen</w:t>
      </w:r>
    </w:p>
    <w:p>
      <w:r>
        <w:rPr>
          <w:b/>
        </w:rPr>
        <w:t>E. 1</w:t>
      </w:r>
    </w:p>
    <w:p>
      <w:r>
        <w:t>Dans les affaires patrimoniales, l'appel est recevable contre les décisions de première instance sur mesures provisionnelles si la valeur litigieuse est de 10'000 fr. au moins (art. 308 al. 1 let. b et al. 2 CPC). En l'espèce, il n'est pas contesté que la valeur litigieuse des mesures provisionnelles requises est supérieure à 10'000 fr., de sorte que la voie de l'appel est ouverte.</w:t>
      </w:r>
    </w:p>
    <w:p>
      <w:r>
        <w:rPr>
          <w:b/>
        </w:rPr>
        <w:t>E. 2</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w:t>
      </w:r>
    </w:p>
    <w:p>
      <w:r>
        <w:t>- 8/14 -</w:t>
      </w:r>
    </w:p>
    <w:p>
      <w:r>
        <w:t>C/1827/2023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La motivation d'un acte d'appel doit être entièrement contenue dans le mémoire d'appel lui-même. Elle ne peut être complétée ou corrigée ultérieurement.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 En l'occurrence, interjeté dans le délai prescrit (art. 130, 131, 314 al. 1 CPC), l'appel est recevable, sous réserve de ce qui suivra quant à sa motivation, et étant observé que l'appelante ne remet en cause que les chiffres 7 et 12 du dispositif de la décision attaquée. Il n'est pas nécessaire de se pencher plus avant sur la recevabilité des pièces nouvelles déposées par les parties, dont le contenu est irrelevant au vu de ce qui va suivre. En particulier, il ne saurait être question de tirer argument des décisions rendues sur effet suspensif en vue de maintenir, durant la procédure d'appel, la situation en vigueur depuis une ordonnance rendue ex parte par le Tribunal.</w:t>
      </w:r>
    </w:p>
    <w:p>
      <w:r>
        <w:rPr>
          <w:b/>
        </w:rPr>
        <w:t>E. 3</w:t>
      </w:r>
    </w:p>
    <w:p>
      <w:r>
        <w:t>L'instance d'appel revoit la cause en fait et en droit avec un plein pouvoir d'examen (art. 310 CPC). Les mesures provisionnelles étant soumises à la procédure sommaire (art. 248 lit. d CPC), avec administration restreinte des moyens de preuve (la preuve étant généralement apportée par titre, art. 254 CPC), la cognition du juge est toutefois limitée à la simple vraisemblance des faits et à un examen sommaire du droit (ATF 131 III 473 consid. 2.3; 127 III 474 consid. 2b/bb; arrêt du Tribunal fédéral 5A_442/2013 du 24 juillet 2013 consid. 2.1 et 5.1). Compte tenu de la valeur litigieuse supérieure à 30'000 fr., les maximes des débats et de disposition s'appliquent (art. 55 al. 1 cum 247 al. 1 let. b ch. 2 CPC et 58 al. 1 CPC).</w:t>
      </w:r>
    </w:p>
    <w:p>
      <w:r>
        <w:t>- 9/14 -</w:t>
      </w:r>
    </w:p>
    <w:p>
      <w:r>
        <w:t>C/1827/2023</w:t>
      </w:r>
    </w:p>
    <w:p>
      <w:r>
        <w:rPr>
          <w:b/>
        </w:rPr>
        <w:t>E. 4</w:t>
      </w:r>
    </w:p>
    <w:p>
      <w:r>
        <w:t>L'appelante a adressé plusieurs reproches aux premiers juges s'agissant de la constatation des faits. Il en a été tenu compte, en tant qu'il s'agissait de faits pertinents, dans l'état de fait dressé ci-dessus.</w:t>
      </w:r>
    </w:p>
    <w:p>
      <w:r>
        <w:rPr>
          <w:b/>
        </w:rPr>
        <w:t>E. 5</w:t>
      </w:r>
    </w:p>
    <w:p>
      <w:r>
        <w:t>L'intimé observe que les prétentions de l'appelante fondées, à compter de la réplique de première instance de celle-ci, notamment sur la LCD, excéderaient la compétence prud'homale et seraient contraires à l'art. 5 CPC et au droit genevois d'organisation judiciaire. En l'occurrence, il apparaît que l'instance a été liée par des conclusions dont il n'est pas contesté qu'elles relèvent des art. 319ss CO, qui ont ensuite été appuyées en outre sur la LCD mais sont demeurées inchangées. Compte tenu de l'issue de la procédure, déterminer si un tel procédé entre dans le champ d'application de l'art. 90 let. a CPC, respectivement se heurte à l'art. 5 CPC, souffre de demeurer indécis.</w:t>
      </w:r>
    </w:p>
    <w:p>
      <w:r>
        <w:rPr>
          <w:b/>
        </w:rPr>
        <w:t>E. 6</w:t>
      </w:r>
    </w:p>
    <w:p>
      <w:r>
        <w:t>L'appelante reproche aux premiers juges de ne pas avoir retenu qu'elle subissait une atteinte, toujours en cours, du fait de la violation par l'intimé de son obligation de fidélité durant son emploi ou une violation des clauses de non-concurrence après la fin des relations contractuelles.</w:t>
      </w:r>
    </w:p>
    <w:p>
      <w:r>
        <w:rPr>
          <w:b/>
        </w:rPr>
        <w:t>E. 6.1</w:t>
      </w:r>
    </w:p>
    <w:p>
      <w:r>
        <w:t>Selon l'art. 261 al. 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5P_422/2005 consid. 3.2 in SJ 2006 I p. 371; BOHNET, in Commentaire romand, Code de procédure civile, 2019, n. 7 ad art. 261 CPC). Il doit donc également rendre vraisemblable une atteinte au droit ou son imminence (BOHNET, op. cit., n. 10 ad art. 261 CPC). Est difficilement réparable le préjudice qui sera plus tard impossible ou difficile à mesurer ou à compenser entièrement. Entre notamment dans ce cas de figure la perte de clientèle (arrêt du Tribunal fédéral 4A_611/2011 du 3 janvier 2012 consid. 4.1; SPRECHER, in Commentaire bâlois, Schweizerische Zivilprozessordnung, 3ème éd., 2017, n. 34 ad art. 261 CPC; DIETSCHY, Les conflits de travail en procédure civile suisse, 2011, n. 461, p. 226).</w:t>
      </w:r>
    </w:p>
    <w:p>
      <w:r>
        <w:t>- 10/14 -</w:t>
      </w:r>
    </w:p>
    <w:p>
      <w:r>
        <w:t>C/1827/2023 Le préjudice difficilement réparable suppose l'urgence (BOHNET, op. cit., n. 12 ad art. 261 CPC; cf. également Message du Conseil fédéral du 28 juin 2006 relatif au code de procédure civile suisse, p. 6961), qui y est implicitement contenue (HUBER, Kommentar zur Schweizerischen Zivilprozessordnung, SUTTER-SOMM et al., 3ème éd., 2016, n. 22 ad art. 261). Celle-ci est en principe admise lorsque le demandeur pourrait subir un dommage économique ou immatériel s'il devait attendre qu'une décision au fond soit rendue dans une procédure ordinaire (ATF 116 Ia 446 consid. 2 in JdT 1992 I p. 122).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4P_263/2004 consid. 2.2, RSPC 2005 p. 414 et 4P_224/1990 consid. 4c in SJ 1991 p. 113).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qu'elle peut constituer un abus de droit (arrêts du Tribunal fédéral 4P.263/2004 du 1er février 2005 consid. 2.1; 4P.224/1990 du 28 novembre 1990 consid. 4c in 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consid. 2.3; DIETSCHY, op. cit., n. 462, p. 227; HOHL, Procédure civile, Tome II, 2ème éd., 2010, n. 1780). 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p. 325); le juge peut en outre se limiter à un examen sommaire des questions de droit (ATF 131 III 473 consid. 2.3; 108 II 69 consid. 2a).</w:t>
      </w:r>
    </w:p>
    <w:p>
      <w:r>
        <w:rPr>
          <w:b/>
        </w:rPr>
        <w:t>E. 6.2</w:t>
      </w:r>
    </w:p>
    <w:p>
      <w:r>
        <w:t>En raison de son obligation de fidélité, le travailleur doit sauvegarder les intérêts légitimes de son employeur (art. 321a al. 1 CO) et par conséquent s'abstenir de tout ce qui peut lui porter préjudice économiquement (ATF 140 V 521 consid. 7.2.1; 117 II 560 consid. 3a; arrêt du Tribunal fédéral 4A_297/2016 du 17 novembre 2016 consid. 4.3.1). Il ne doit pas faire concurrence à l'employeur pendant la durée du contrat (art. 321a al. 3 CO). L'obligation de fidélité complète l'obligation de travailler en ce sens qu'elle confère au travail un but, des objectifs: la défense des intérêts de l'employeur</w:t>
      </w:r>
    </w:p>
    <w:p>
      <w:r>
        <w:t>- 11/14 -</w:t>
      </w:r>
    </w:p>
    <w:p>
      <w:r>
        <w:t>C/1827/2023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(arrêt du Tribunal fédéral 4A_297/2016, précité, consid. 4.3.1 et les références citées). Cette obligation accessoire générale vaut dans une mesure accrue pour les cadres, eu égard au crédit particulier et à la responsabilité que leur confère leur fonction dans l'entreprise de l'employeur (arrêt du Tribunal fédéral 4A_393/2020 consid. 4.1.1 et les références citées).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(ATF 138 III 67 consid. 2.3.5; 117 II 72 consid. 4). La limite entre les préparatifs admissibles et la violation du devoir de fidélité n'est pas toujours facile à tracer (ATF 138 III 67 consid. 2.3.5). Lorsque l'employé noue un rapport personnel avec le client en lui fournissant des prestations qui dépendent essentiellement des capacités propres à l'employé,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(ATF 138 III 67 consid. 2.2.1; arrêt du Tribunal fédéral 4A_116/2018 précité consid. 4.1). Dire si tel est le cas dépend des circonstances (arrêt du Tribunal fédéral 4A_205/2021 consid. 4.2). 6.3.1 En l'espèce, s'agissant des conclusions en interdiction de prise de contact avec les clients et d'inciter la clientèle à quitter l'appelante, il est acquis, comme l'a retenu le Tribunal, que plusieurs dizaines de clients ont mis fin au mandat les liant à l'appelante, avec vraisemblablement un dommage financier lié. Contrairement à ce que soutient l'appelante, les premiers juges n'ont pas retenu que l'intimé entretenait un lien de confiance particulier avec des clients, mais qu'il</w:t>
      </w:r>
    </w:p>
    <w:p>
      <w:r>
        <w:t>- 12/14 -</w:t>
      </w:r>
    </w:p>
    <w:p>
      <w:r>
        <w:t>C/1827/2023 était vraisemblable que ce fût le cas; l'appelante ne s'attache pas à démontrer qu'au vu de la nature de l'activité exercée, pareille conclusion serait insoutenable. Il apparaît au contraire qu'elle est dans la ligne des principes jurisprudentiels en la matière, examinés sous l'angle de la vraisemblance, ce qui ruine toute tentative de critique de l'appelante sur ce pan du raisonnement du Tribunal. Au demeurant, les visites effectuées en 2022 (dont l'appelante se prévaut pour y voir une incitation de la part de l'intimé) tendent à confirmer l'existence de ce lien personnel avec les clients. Certes, les résiliations de mandat de janvier 2023 apparaissent avoir été expédiées à la première date utile après la fin des rapports de travail de l'intimé, dans une démarche qui pourrait être collective; il n'en demeure pas moins qu'il est vraisemblable, comme l'ont retenu les premiers juges, que les clients, ont agi de leur propre chef, fût-ce sur la base d'informations de l'intimé quant à ses préparatifs de future activité. Quant aux départs d'autres employés de l'appelante, les développements que les premiers juges ont consacrés à la question ne font pas l'objet de critiques motivées de l'appelante; la seule mention dans l'appel des dates de départ de deux employés et d'une affirmation de l'intimé contenue dans sa pièce 3 ("The management team of A______ SA decided to come with me"), mettant d'ailleurs en lumière le libre arbitre des intéressés, ne représente pas une motivation suffisante à cet égard. Ainsi, déduire de ce qui précède que l'intimé se livrerait à d'autres démarches du même ordre n'est pas rendu vraisemblable de par ces seules circonstances, ainsi que l'a retenu à raison le Tribunal. 6.3.2 Pour ce qui a trait à sa conclusion en interdiction d'utilisation d'informations relatives à la clientèle obtenue dans le cadre de l'emploi, l'appelante critique le Tribunal en ce qu'il a retenu que les envois de documents internes par le truchement de boîtes aux lettres non professionnelles étaient usuels et acceptés (ce dont témoignaient en particulier les courriels destinés à ou reçus de E______, entre 2014 et 2022, dont deux évoquaient même des envois par messagerie whatsapp). Ce faisant, elle se limite à contester que tel fût le cas, sans mettre en lumière un élément du dossier qui soutiendrait sa thèse de subtilisation de documents, omettant qu'il lui revenait de rendre vraisemblable l'atteinte alléguée autrement que par une simple affirmation. Elle reprend d'ailleurs textuellement dans son appel (p. 9 par. 3 à 5; p. 9 par. 9) des passages de sa réplique de première instance (p. 16, par. 5, 7 et 8; p. 17 par. 2), ce qui n'est pas suffisant en termes de motivation. Elle ne tente pas davantage de s'en prendre au raisonnement que les premiers juges ont consacré à l'absence de vraisemblance que l'intimé aurait utilisé les données en sa possession. Enfin, il sera rappelé que d'éventuelles critiques développées pour la première fois dans la réplique n'ont pas à être prises en compte. Ainsi, pour autant que suffisamment motivé, le grief est infondé.</w:t>
      </w:r>
    </w:p>
    <w:p>
      <w:r>
        <w:t>- 13/14 -</w:t>
      </w:r>
    </w:p>
    <w:p>
      <w:r>
        <w:t>C/1827/2023 6.3.3 En ce qui concerne sa conclusion en interdiction de dénigrement, l'appelante soutient qu'elle aurait rendu vraisemblables des agissements de l'intimé en ce sens. Elle développe une critique particulièrement sommaire des considérations du Tribunal sur ce point. En effet, elle se réfère à une unique pièce (n. 22) qu'elle a produite, sans tenter de démontrer que les premiers juges auraient à tort retenu que ce "témoignage écrit", même considéré comme un indice (ainsi qu'elle le soutient pour contrer l'affirmation du Tribunal selon laquelle il était dépourvu de toute force probante), se rapportait à des propos n'émanant pas de l'intimé. Elle se limite, pour le surplus, à reproduire mot pour mot un passage de sa réplique (se rapportant à la pièce 3 de l'intimé), ce qui n'est pas admissible ainsi que déjà souligné ci-dessus, et ne discute en rien le raisonnement du Tribunal à ce propos. Une telle manière de procéder n'est pas conforme aux exigences de motivation de l'appel, ce qui rend le grief irrecevable, étant à nouveau rappelé que d'éventuels griefs résultant de la réplique ne sont pas recevables. Au vu de ce qui précède, la décision attaquée sera confirmée.</w:t>
      </w:r>
    </w:p>
    <w:p>
      <w:r>
        <w:rPr>
          <w:b/>
        </w:rPr>
        <w:t>E. 7</w:t>
      </w:r>
    </w:p>
    <w:p>
      <w:r>
        <w:t>L'appelante, qui succombe, supportera les frais de son appel (art. 106 al. 1 CPC). Ceux-ci seront arrêtés à 3'000 fr. (art. 71 RTFMC), compensés avec l'avance opérée, acquise à l'ETAT DE GENEVE.</w:t>
      </w:r>
    </w:p>
    <w:p>
      <w:r>
        <w:t>Il n'est pas alloué de dépens (art. 22 al. 2 LaCC). * * * * *</w:t>
      </w:r>
    </w:p>
    <w:p>
      <w:r>
        <w:t>- 14/14 -</w:t>
      </w:r>
    </w:p>
    <w:p>
      <w:r>
        <w:t>C/1827/2023</w:t>
      </w:r>
    </w:p>
    <w:p>
      <w:r>
        <w:t>PAR CES MOTIFS, La Chambre des prud'hommes :</w:t>
      </w:r>
    </w:p>
    <w:p>
      <w:r>
        <w:t>A la forme : Déclare recevable l'appel formé par A______ SA contre le jugement rendu par le Tribunal des prud'hommes le 22 décembre 2023. Au fond : Confirme ce jugement. Déboute les parties de toutes autres conclusions. Sur les frais: Arrête les frais d'appel à 3'000 fr., compensés avec l'avance opérée, acquise à l'ETAT DE GENEVE. Les met à la charge de A______ SA. Dit qu'il n'est pas alloué de dépens.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