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CAPH/65/2015 vom 20. April 2015</w:t>
      </w:r>
    </w:p>
    <w:p>
      <w:r>
        <w:t>GE Cour de justice, 2015-04-20, FR</w:t>
      </w:r>
    </w:p>
    <w:p>
      <w:r>
        <w:rPr>
          <w:b/>
        </w:rPr>
        <w:t xml:space="preserve">Quelle: </w:t>
      </w:r>
      <w:r>
        <w:t>https://mcp.opencaselaw.ch/entscheid/ge_gerichte_CAPH_65_2015</w:t>
      </w:r>
    </w:p>
    <w:p>
      <w:r>
        <w:t>FR: GE_GERICHTE CAPH/65/2015 du 20 avril 2015</w:t>
      </w:r>
    </w:p>
    <w:p>
      <w:r>
        <w:t>IT: GE_GERICHTE CAPH/65/2015 del 20 aprile 2015</w:t>
      </w:r>
    </w:p>
    <w:p>
      <w:pPr>
        <w:pStyle w:val="Heading2"/>
      </w:pPr>
      <w:r>
        <w:t>Erwägungen</w:t>
      </w:r>
    </w:p>
    <w:p>
      <w:r>
        <w:rPr>
          <w:b/>
        </w:rPr>
        <w:t>E. 1</w:t>
      </w:r>
    </w:p>
    <w:p>
      <w:r>
        <w:t>La Cour examine d'office si les conditions de recevabilité du recours sont remplies (art. 60 CPC). 1.1.1.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(ch. 1) ou lorsqu'elles peuvent causer un préjudice difficilement réparable (ch. 2; art. 319 let. b CPC). Le délai de recours est de dix jours pour les ordonnances d'instruction (art. 321 al. 2 CPC). 1.1.2. Selon l'art. 238 let. f CPC, la décision du tribunal doit indiquer les voies de recours, si les parties n'ont pas renoncé à recourir. Une ordonnance d'instruction doit s'accompagner des voies de droit mentionnant notamment la possibilité et les conditions d'un recours stricto sensu selon l'art. 319 let. b ch. 2 CPC (TAPPY, in CPC, Code de procédure civile commenté, BOHNET/HALDY/JEANDIN/SCHWEIZER/TAPPY [éd.], 2011, n. 20 ad art. 238 CPC). La loi ne précise pas les conséquences d'une absence d'avis des voies de recours. La règle, relative à l'art. 49 LTF et applicable par analogie, est qu'une notification irrégulière ne doit pas nuire aux parties. Elle découle du droit à la protection de la bonne foi (art. 9 Cst.; ATF 131 II 627 consid. 6.1; arrêt du Tribunal fédéral 4A_93/2012 du 21 mai 2012 consid. 4.3). Selon la jurisprudence relative à l'indication inexacte des voies de recours, seul peut toutefois bénéficier de la protection de la bonne foi celui qui ne pouvait pas en constater l'inexactitude, même avec la diligence qu'on pouvait attendre de lui (ATF 138 I 49 consid. 8.3.2; arrêt du Tribunal fédéral 5A_614/2014 du 20 novembre 2014 consid. 4.1 et les références citées). Les exigences envers les avocats sont naturellement plus élevées : on attend dans tous les cas de ces derniers qu'ils procèdent à un contrôle sommaire ("Grobkontrolle") des indications sur la voie de droit et qu'il lise la législation applicable (arrêt du Tribunal fédéral 5A_614/2014 du 20 novembre 2014 consid. 4.1 et les références citées).</w:t>
      </w:r>
    </w:p>
    <w:p>
      <w:r>
        <w:rPr>
          <w:b/>
        </w:rPr>
        <w:t>E. 1.2</w:t>
      </w:r>
    </w:p>
    <w:p>
      <w:r>
        <w:t>En l'espèce, le recours formé le 27 octobre 2014 à l'encontre de l'ordonnance du Tribunal du 18 mars 2014, notifiée à la recourante le 10 octobre 2014, est tardif et, par conséquent, irrecevable.</w:t>
      </w:r>
    </w:p>
    <w:p>
      <w:r>
        <w:t>L'absence de délai et de voie de recours est opposable à la recourante, parce qu'elle était en relation professionnelle avec une Etude genevoise avant la réception de l'ordonnance en cause, laquelle connaissait le conflit qui divisait les parties. Ainsi, en élisant domicile auprès de cette Etude pour la procédure de</w:t>
      </w:r>
    </w:p>
    <w:p>
      <w:r>
        <w:t>- 5/9 -</w:t>
      </w:r>
    </w:p>
    <w:p>
      <w:r>
        <w:t>C/27814/2013-4 recours et en comparant par avocat, celui-ci n'ignorait pas la brièveté du délai pour recourir, lequel résulte de la lecture de la loi (art. 321 al. 2 CPC) dès lors qu'il s'agit d'une ordonnance, et sa connaissance du litige lui permettait d'agir en temps utile. La recourante ne peut, par conséquent, bénéficier de la protection de la bonne foi.</w:t>
      </w:r>
    </w:p>
    <w:p>
      <w:r>
        <w:t>1.3.1. A teneur de l'art. 147 al. 1 CPC, une partie est défaillante lorsqu'elle omet d'accomplir un acte de procédure dans le délai prescrit ou ne se présente pas lorsqu'elle est citée à comparaître.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restitution selon l'art. 148 CPC vise tous les délais légaux et judiciaires du CPC (ACJC/534/2013 du 26 avril 2013 consid. 2.1). La faute du représentant, qui a causé le défaut, est imputable à la partie (ACJC/534/2013 du 26 avril 2013 consid. 2.1 et les références citées). Il appartient à la partie défaillante de rendre vraisemblable qu'aucune faute ne lui est imputable ou seulement une faute légère et de produire les moyens de preuve nécessaires à cet effet (ACJC/534/2013 du 26 avril 2013 consid. 2.1 et la référence citée). 1.3.2. En l'espèce, la recourante n'explique pas les raisons pour lesquelles elle n'a pas été en mesure de recourir en temps utile par l'intermédiaire de son mandataire genevois, en dépit de la connaissance du litige par celui-ci. Une restitution du délai de recours est, par conséquent, exclue.</w:t>
      </w:r>
    </w:p>
    <w:p>
      <w:r>
        <w:rPr>
          <w:b/>
        </w:rPr>
        <w:t>E. 1.4</w:t>
      </w:r>
    </w:p>
    <w:p>
      <w:r>
        <w:t>En tout état de cause, le recours est également irrecevable à un autre titre :</w:t>
      </w:r>
    </w:p>
    <w:p>
      <w:r>
        <w:t>Le recours est recevable contre les ordonnances d'instruction de première instance, dans les cas prévus par la loi (art. 319 let. b ch. 1 CPC) ou lorsqu'elles peuvent causer un préjudice difficilement réparable (art. 319 let. b ch. 2 CPC). Constitue un "préjudice difficilement réparable" (notion plus large que celle de "préjudice irréparable" au sens de l'art. 93 al. 1 let. a LTF (ATF 137 III 380 consid. 2 = SJ 2012 I 77; arrêt du Tribunal fédéral 5A_150/2014 du 6 mai 2014 consid. 3.2),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w:t>
      </w:r>
    </w:p>
    <w:p>
      <w:r>
        <w:t>- 6/9 -</w:t>
      </w:r>
    </w:p>
    <w:p>
      <w:r>
        <w:t>C/27814/2013-4 à un plaideur de contester immédiatement toute ordonnance d'instruction pouvant avoir un effet sur le sort de la cause, ce que le législateur a justement voulu éviter (ACJC/615/2014 du 23 mai 2014 consid. 1.4.1). En l'espèce, l'exigence adressée à la recourante de communiquer au Tribunal une adresse de notification en Suisse ne lui cause aucun préjudice et, a fortiori, aucun préjudice difficilement réparable, ce d'autant moins qu'elle avait déjà avisé l'intimé, par courrier du 13 septembre 2013, de son élection de domicile à des fins de correspondance auprès de l'Etude genevoise C______, laquelle représentait ainsi un domicile de notification au sens de l'art. 140 CPC (cf. ci-dessous consid. 2.1). De surcroît, la recourante a requis la notification de l'ordonnance entreprise, communiquée par la voie de l'entraide internationale, auprès de la même Etude (cf. réf. ______). Dans ces conditions, l'argumentation de la recourante frise la témérité. Ainsi, en l'absence de préjudice difficilement réparable, le recours est irrecevable.</w:t>
      </w:r>
    </w:p>
    <w:p>
      <w:r>
        <w:rPr>
          <w:b/>
        </w:rPr>
        <w:t>E. 2</w:t>
      </w:r>
    </w:p>
    <w:p>
      <w:r>
        <w:t>Pour le surplus, sur le fond, la thèse de la recourante est infondée :</w:t>
      </w:r>
    </w:p>
    <w:p>
      <w:r>
        <w:rPr>
          <w:b/>
        </w:rPr>
        <w:t>E. 2.1</w:t>
      </w:r>
    </w:p>
    <w:p>
      <w:r>
        <w:t>De la souveraineté des Etats, il résulte que chacun d'eux a la compétence exclusive d'accomplir des actes de puissance publique sur son propre territoire. En règle générale, un Etat ne peut pas accomplir d'acte de ce genre dans les frontières d'un autre Etat sans en violer la souveraineté et, partant, sans violer le droit international. L'acte n'est compatible avec ce droit que s'il est admis par une règle internationale spécifique, par exemple convenue dans un traité conclu entre les Etats concernés, ou s'il est unilatéralement toléré par l'Etat dans lequel il s'exécute. Ces principes concernent notamment les notifications judiciaires. S'il advient qu'une autorité suisse effectue une notification à l'étranger sans y être autorisée par le droit international, cette notification est nulle au regard du droit interne suisse, en raison de la primauté de ce droit-là (arrêt du Tribunal fédéral 4A_161/2008 du 1er juillet 2008 consid. 3.1 publié in SJ 2009 I 144 et les références citées). Les ordonnances du Tribunal sont des actes de souveraineté qui ne peuvent être notifiés qu'avec l'autorisation de l'autorité étrangère compétente (HOHL, Procédure civile, tome II, Compétence, délais, procédures et voies de recours, 2010, p. 107, n. 535). La notification est, en droit suisse, un acte de puissance publique (GAUTHEY/MARKUS, op. cit., p. 81 n. 247; BOHNET/BRÜGGER, La notification en procédure civile suisse, ZSR 2010 I 291, p. 321). Elle relève de l'ordre public et une irrégularité doit être relevée d'office (BOHNET/BRÜGGER, op. cit., p. 296). La notification contribue à garantir le droit d'être entendu du destinataire des actes (GAUTHEY/MARKUS, op. cit., p. 80 n. 242; BOHNET/BRÜGGER, op. cit., p. 295).</w:t>
      </w:r>
    </w:p>
    <w:p>
      <w:r>
        <w:t>- 7/9 -</w:t>
      </w:r>
    </w:p>
    <w:p>
      <w:r>
        <w:t>C/27814/2013-4 La notification d'actes à l'étranger est régie par la LDIP, la Convention de la Haye du 1er mars 1954 relative à la procédure civile (CLHa54, RS 0.274.12) et la Convention de la Haye du 15 novembre 1965 relative à la signification et la notification à l'étranger des actes judiciaires et extrajudiciaires en matière civile ou commerciale (CLaH 65, RS 0.274.131; GAUTHEY/MARKUS, op. cit., p. 81 n. 248), conventions auxquelles le Brésil n'est pas partie. En l'absence de conventions internationales, l'art. 140 CPC permet au Tribunal d'ordonner aux parties dont le domicile ou le siège se trouve à l'étranger d'élire en Suisse un domicile de notification. Selon l'art. 141 al. 1 let. c. CPC, la notification est effectuée par publication dans la Feuille des avis officiels ou dans la Feuille officielle suisse du commerce lorsque la partie domiciliée à l'étranger n'a pas élu de domicile de notification en Suisse malgré l'injonction du Tribunal. Le lien d'instance qui se crée dès qu'une personne en attrait une autre en justice impose aux parties, en vertu du principe de la bonne foi, de faire en sorte que les actes officiels puissent leur être notifiés (arrêt du Tribunal fédéral 2C_554/2007 du 21 décembre 2007 consid. 2.2; BOHNET/BRÜGGER, op. cit., p. 322). Il est nécessaire qu'une première notification intervienne à l'étranger de manière régulière et que l'acte notifié, en général l'acte introductif d'instance, enjoigne le destinataire à élire un domicile de notification en Suisse (BOHNET/BRÜGGER, op. cit., p.p. 326 et 322; cf. HALDY, Procédure civile suisse, 2014, p. 123, n. 409 et HOHL, op. cit., p. 107, nos 532 et 535 qui n'évoquent pas une nécessaire transmission de l'acte introductif d'instance avec l'injonction du Tribunal). L'élection d'un domicile de notification en Suisse implique de communiquer une adresse dans ce pays et non pas la constitution d'un avocat (GSCHWEND/- BORNATICO, Commentaire bâlois, 2ème éd., 2013, n. 4 ad art. 140 CPC; FREI, Commentaire bernois, 2012, n. 6 ad art. 140 CPC). Il peut d'ailleurs s'agir d'une adresse postale ou de celle d'un hôtel (OBERHAMMER/DOMEJ/HAAS, Kurzkommentar ZPO, n. 2 ad art. 140 CPC).</w:t>
      </w:r>
    </w:p>
    <w:p>
      <w:r>
        <w:rPr>
          <w:b/>
        </w:rPr>
        <w:t>E. 2.2</w:t>
      </w:r>
    </w:p>
    <w:p>
      <w:r>
        <w:t>En l'espèce, la notification de l'ordonnance entreprise à la recourante a été effectuée avec le concours des autorités judiciaires brésiliennes et il ne résulte pas de l'art. 140 CPC que le Tribunal avait l'obligation d'y joindre l'acte introductif d'instance. S'il en avait la faculté de le faire, il était aussi habilité à notifier l'acte introductif d'instance au domicile de notification en Suisse après réception de celui-ci, ou, sinon, procéder par voie édictale.</w:t>
      </w:r>
    </w:p>
    <w:p>
      <w:r>
        <w:rPr>
          <w:b/>
        </w:rPr>
        <w:t>E. 2.3</w:t>
      </w:r>
    </w:p>
    <w:p>
      <w:r>
        <w:t>Le recours, irrecevable, est pour le surplus infondé.</w:t>
      </w:r>
    </w:p>
    <w:p>
      <w:r>
        <w:t>- 8/9 -</w:t>
      </w:r>
    </w:p>
    <w:p>
      <w:r>
        <w:t>C/27814/2013-4</w:t>
      </w:r>
    </w:p>
    <w:p>
      <w:r>
        <w:rPr>
          <w:b/>
        </w:rPr>
        <w:t>E. 3</w:t>
      </w:r>
    </w:p>
    <w:p>
      <w:r>
        <w:t>La recourante, qui succombe, sera condamnée aux frais judiciaires du recours, la valeur litigieuse excédant 30'000 fr., ceux-là étant fixés à 1'000 fr. pour la présente décision et à 500 fr. pour la décision du 20 novembre 2014 relative à la demande de restitution de l'effet suspensif, soit 1'500 fr. au total (art. 104 al. 1, 105, 106 al. 1 et 114 let. c CPC, art. 41 du Règlement genevois du 22 décembre 2010 fixant le tarif des frais en matière civile, RTFMC, E 1 05.10).</w:t>
      </w:r>
    </w:p>
    <w:p>
      <w:r>
        <w:t>Ils sont compensés à concurrence de 500 fr. avec l'avance de frais de la recourante, laquelle reste acquise à l'Etat de Genève (art. 111 al. 1 CPC) et la recourante sera condamnée à verser 1'000 fr. aux Services financiers du Pouvoir judicaire à titre de solde de frais judiciaires.</w:t>
      </w:r>
    </w:p>
    <w:p>
      <w:r>
        <w:t>Il n'est pas alloué de dépens (art. 22 al. 2 LaCC). * * * * *</w:t>
      </w:r>
    </w:p>
    <w:p>
      <w:r>
        <w:t>- 9/9 -</w:t>
      </w:r>
    </w:p>
    <w:p>
      <w:r>
        <w:t>C/27814/2013-4 PAR CES MOTIFS, La Chambre des prud'hommes, groupe 4 : Déclare irrecevable le recours formé par A______ contre l'ordonnance TRPH/26/2014 rendue le 18 mars 2014 par le Tribunal des prud'hommes dans la cause C/27814/2013-4. Sur les frais : Arrête les frais judiciaires du recours à 1'500 fr. Les met à la charge de A______ et dit qu'ils sont compensés à concurrence de 500 fr. avec l'avance de frais déjà opérée par cette dernière, qui reste acquise à l'Etat de Genève. Condamne A______ à payer aux Services financiers du Pouvoir judiciaire le solde de 1'000 fr. au titre des frais judiciaires du recours. Dit qu'il n'est pas alloué de dépens. Siégeant : Madame Nathalie LANDRY-BARTHE, présidente; Monsieur Olivier GROMETTO, juge employeur, Monsieur Yves DELALOYE, juge salarié; Madame Véronique BULUNDWE-LÉVY, greffière.</w:t>
      </w:r>
    </w:p>
    <w:p>
      <w:r>
        <w:t>La présidente : Nathalie LANDRY-BARTHE</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 (ATF 138 IV 258 consid. 1.1).</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