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CAPH/63/2024 vom 22. Dezember 2023</w:t>
      </w:r>
    </w:p>
    <w:p>
      <w:r>
        <w:t>GE Cour de justice, 2023-12-22, FR</w:t>
      </w:r>
    </w:p>
    <w:p>
      <w:r>
        <w:rPr>
          <w:b/>
        </w:rPr>
        <w:t xml:space="preserve">Quelle: </w:t>
      </w:r>
      <w:r>
        <w:t>https://mcp.opencaselaw.ch/entscheid/ge_gerichte_CAPH_63_2024</w:t>
      </w:r>
    </w:p>
    <w:p>
      <w:r>
        <w:t>FR: GE_GERICHTE CAPH/63/2024 du 22 décembre 2023</w:t>
      </w:r>
    </w:p>
    <w:p>
      <w:r>
        <w:t>IT: GE_GERICHTE CAPH/63/2024 del 22 dicembre 2023</w:t>
      </w:r>
    </w:p>
    <w:p>
      <w:pPr>
        <w:pStyle w:val="Heading2"/>
      </w:pPr>
      <w:r>
        <w:t>Erwägungen</w:t>
      </w:r>
    </w:p>
    <w:p>
      <w:r>
        <w:rPr>
          <w:b/>
        </w:rPr>
        <w:t>E. 1</w:t>
      </w:r>
    </w:p>
    <w:p>
      <w:r>
        <w:t>Dans les affaires patrimoniales, l'appel est recevable contre les décisions de première instance sur mesures provisionnelles si la valeur litigieuse est de 10'000 fr. au moins (art. 308 al. 1 let. b et al. 2 CPC). En l'espèce, il n'est pas contesté que la valeur litigieuse des mesures provisionnelles requises est supérieure à 10'000 fr., de sorte que la voie de l'appel est ouverte.</w:t>
      </w:r>
    </w:p>
    <w:p>
      <w:r>
        <w:t>- 8/14 -</w:t>
      </w:r>
    </w:p>
    <w:p>
      <w:r>
        <w:t>C/13098/2023</w:t>
      </w:r>
    </w:p>
    <w:p>
      <w:r>
        <w:rPr>
          <w:b/>
        </w:rPr>
        <w:t>E. 2</w:t>
      </w:r>
    </w:p>
    <w:p>
      <w:r>
        <w:t>L'instance d'appel revoit la cause en fait et en droit avec un plein pouvoir d'examen (art. 310 CPC). Les mesures provisionnelles étant soumises à la procédure sommaire (art. 248 lit. d CPC), avec administration restreinte des moyens de preuve (la preuve étant généralement apportée par titre, art. 254 CPC), la cognition du juge est toutefois limitée à la simple vraisemblance des faits et à un examen sommaire du droit (ATF 131 III 473 consid. 2.3; 127 III 474 consid. 2b/bb; arrêt du Tribunal fédéral 5A_442/2013 du 24 juillet 2013 consid. 2.1 et 5.1). Compte tenu de la valeur litigeuse supérieure à 30'000 fr., les maximes des débats et de disposition s'appliquent (art. 55 al. 1 cum 247 al. 1 let. b ch. 2 CPC et 58 al. 1 CPC).</w:t>
      </w:r>
    </w:p>
    <w:p>
      <w:r>
        <w:rPr>
          <w:b/>
        </w:rPr>
        <w:t>E. 3</w:t>
      </w:r>
    </w:p>
    <w:p>
      <w:r>
        <w:t>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Ainsi,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4A_463/2023 du 24 avril 2024 consid. 4.1 et les références citées). La motivation d'un acte d'appel doit être entièrement contenue dans le mémoire d'appel lui-même. Elle ne peut être complétée ou corrigée ultérieurement. Si elle fait défaut, la juridiction d'appel n'entre pas en matière. Il en va de même pour les conclusions d'appel. En effet, il ne peut être remédié à un défaut de motivation ou à des conclusions déficientes, de tels vices n'étant pas d'ordre formel et affectant l'appel de manière irréparable, ce même si le mémoire émane d'une personne sans formation juridique (arrêt du Tribunal fédéral 5A_959/2023 du 23 janvier 2024 consid. 3.2. et les références citées).</w:t>
      </w:r>
    </w:p>
    <w:p>
      <w:r>
        <w:t>- 9/14 -</w:t>
      </w:r>
    </w:p>
    <w:p>
      <w:r>
        <w:t>C/13098/2023 En l'occurrence, interjeté dans le délai prescrit (art. 130, 131, 314 al. 1 CPC), l'appel est recevable, sous réserve de ce qui suivra quant à sa motivation.</w:t>
      </w:r>
    </w:p>
    <w:p>
      <w:r>
        <w:rPr>
          <w:b/>
        </w:rPr>
        <w:t>E. 4</w:t>
      </w:r>
    </w:p>
    <w:p>
      <w:r>
        <w:t>L'appelante a allégué des faits nouveaux, soit survenus après que le Tribunal avait annoncé garder la cause à juger. Selon l'art. 317 al. 1 CPC, les faits et les moyens de preuve nouveaux ne sont pris en compte qu'aux conditions suivantes: ils sont invoqués ou produits sans retard (let. a) et ils ne pouvaient pas être invoqués ou produits devant la première instance bien que la partie qui s'en prévaut ait fait preuve de la diligence requise (let. b). Ces conditions sont cumulatives (arrêt du Tribunal fédéral 5A_456/2016 du 28 octobre 2016 consid. 4.1.1). S'agissant des vrais nova, la condition de nouveauté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t>En l'occurrence, la recevabilité des faits nouveaux allégués peut demeurer indécise, ceux-ci étant en tout état dépourvus de pertinence dans le cadre de l'examen de la vraisemblance opéré ci-dessous.</w:t>
      </w:r>
    </w:p>
    <w:p>
      <w:r>
        <w:rPr>
          <w:b/>
        </w:rPr>
        <w:t>E. 5</w:t>
      </w:r>
    </w:p>
    <w:p>
      <w:r>
        <w:t>L'appelante reproche aux premiers juges de ne pas avoir retenu qu'elle subissait une atteinte, toujours en cours, du fait de la violation par l'intimé de ses obligations.</w:t>
      </w:r>
    </w:p>
    <w:p>
      <w:r>
        <w:rPr>
          <w:b/>
        </w:rPr>
        <w:t>E. 5.1</w:t>
      </w:r>
    </w:p>
    <w:p>
      <w:r>
        <w:t>Selon l'art. 261 al. 1 CPC, le Tribunal ordonne les mesures provisionnelles nécessaires lorsque le requérant rend vraisemblable qu'une prétention dont il est titulaire remplit les conditions suivantes: elle est l'objet d'une atteinte ou risque de l'être (let. a); cette atteinte risque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consid. 3.2 in SJ 2006 I p. 371; BOHNET, in Commentaire romand, Code de procédure civile, 2019, n. 7 ad art. 261 CPC). Il doit donc également rendre vraisemblable une atteinte au droit ou son imminence (BOHNET, op. cit., n. 10 ad art. 261 CPC). Est difficilement réparable le préjudice qui sera plus tard impossible ou difficile à mesurer ou à compenser entièrement. Entre notamment dans ce cas de figure la perte de clientèle (arrêt du Tribunal fédéral 4A_611/2011 du 3 janvier 2012</w:t>
      </w:r>
    </w:p>
    <w:p>
      <w:r>
        <w:t>- 10/14 -</w:t>
      </w:r>
    </w:p>
    <w:p>
      <w:r>
        <w:t>C/13098/2023 consid. 4.1; SPRECHER, in Commentaire bâlois, Schweizerische Zivilprozessordnung, 3ème éd., 2017, n. 34 ad art. 261 CPC; DIETSCHY, Les conflits de travail en procédure civile suisse, 2011, n. 461, p. 226). Le préjudice difficilement réparable suppose l'urgence (BOHNET, op. cit., n. 12 ad art. 261 CPC; cf. également Message du Conseil fédéral du 28 juin 2006 relatif au code de procédure civile suisse, p. 6961), qui y est implicitement contenue (HUBER, Kommentar zur Schweizerischen Zivilprozessordnung, SUTTER-SOMM et al., 3ème éd., 2016, n. 22 ad art. 261). Celle-ci est en principe admise lorsque le demandeur pourrait subir un dommage économique ou immatériel s'il devait attendre qu'une décision au fond soit rendue dans une procédure ordinaire (ATF 116 Ia 446 consid. 2 in JdT 1992 I p. 122).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RSPC 2005 p. 414 et 4P.224/1990 consid. 4c in SJ 1991 p. 113).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qu'elle peut constituer un abus de droit (arrêts du Tribunal fédéral 4P.263/2004 du 1er février 2005 consid. 2.1; 4P.224/1990 du 28 novembre 1990 consid. 4c in SJ 1991 p. 113). Le juge doit procéder à la mise en balance des intérêts contradictoires en présence, c'est-à-dire à l'appréciation des désavantages respectifs en découlant pour le requérant et pour l'intimé, selon que la mesure requise est ordonnée ou refusée (ATF 131 III 473 consid. 2.3; DIETSCHY, op. cit., n. 462, p. 227; HOHL, Procédure civile, Tome II, 2ème éd., 2010, n. 1780). Celui qui requiert des mesures provisionnelles doit rendre vraisemblable qu'une prétention dont il est titulaire est l'objet d'une atteinte - ou risque de l'être -, et qu'il s'expose de ce fait à un préjudice difficilement réparable (art. 261 al. 1 CPC). Un fait est rendu vraisemblable si le juge, en se basant sur des éléments objectifs, a l'impression que le fait invoqué s'est produit, sans pour autant devoir exclure la possibilité qu'il ait pu se dérouler autrement (ATF 132 III 715 consid. 3.1; 130 III 321 consid. 3.3 p. 325); le juge peut en outre se limiter à un examen sommaire des questions de droit (ATF 131 III 473 consid. 2.3; 108 II 69 consid. 2a).</w:t>
      </w:r>
    </w:p>
    <w:p>
      <w:r>
        <w:rPr>
          <w:b/>
        </w:rPr>
        <w:t>E. 5.2</w:t>
      </w:r>
    </w:p>
    <w:p>
      <w:r>
        <w:t>En raison de son obligation de fidélité, le travailleur doit sauvegarder les intérêts légitimes de son employeur (art. 321a al. 1 CO) et par conséquent s'abstenir de tout ce qui peut lui porter préjudice économiquement (ATF 140 V 521 consid. 7.2.1; 117 II 560 consid. 3a; arrêt du Tribunal fédéral 4A_297/2016 du</w:t>
      </w:r>
    </w:p>
    <w:p>
      <w:r>
        <w:t>- 11/14 -</w:t>
      </w:r>
    </w:p>
    <w:p>
      <w:r>
        <w:t>C/13098/2023 17 novembre 2016 consid. 4.3.1). Il ne doit pas faire concurrence à l'employeur pendant la durée du contrat (art. 321a al. 3 CO). L'obligation de fidélité complète l'obligation de travailler en ce sens qu'elle confère au travail un but, des objectifs: la défense des intérêts de l'employeur (ATF 140 V 521 consid. 7.2.1). Le devoir de fidélité, sous son aspect positif, comprend un devoir d'information et de renseignements à charge du travailleur, qui l'astreint notamment à avertir l'employeur d'éventuels dommages imminents, des perturbations dans l'exécution du travail et d'autres irrégularités ou abus (arrêt du Tribunal fédéral 4A_297/2016, précité, consid. 4.3.1 et les références citées). 5.3.1 En l'espèce, pour ce qui a trait à sa conclusion en interdiction d'utilisation d'informations relatives à la clientèle obtenues dans le cadre de l'emploi, l'appelante soutient que le Tribunal aurait mal apprécié les faits en retenant qu'il n'était pas rendu vraisemblable que l'intimé aurait communiqué des documents sur des adresses privées en vue de détourner de la clientèle. Elle voit dans la directive émise en 2014, souscrite par l'intimé, la démonstration qu'elle proscrivait l'envoi de courriels sur des messageries externes, ce qui était renforcé par la mise à disposition d'une connexion à distance à compter de 2020 ou 2021. Certes, il apparaît que l'intimé a procédé à de tels envois, à l'instar de certains de ses collègues, et a fait adresser par l'une de celles-ci (J______) à une reprise un courriel sur une boîte personnelle. Déduire de ces circonstances que serait rendu vraisemblable que les informations dont disposait ainsi l'intimé (ce qui n'est pas contesté) auraient été collectées durant plusieurs mois voire années en vue d'un détournement de clientèle, soit par lui-même soit par ses collègues futurs démissionnaires ne convainc guère, ainsi que l'ont retenu les premiers juges. Pour le surplus, l'appelante se réfère en bloc à ses faits nouveaux, dont elle ne développe, dans sa partie en droit, que ceux consacrés à la création de D______ SA. Contrairement à ce qu'elle soutient, ceux-ci ne rendent pas davantage vraisemblables les atteintes prétendues: en particulier aucun élément, si ce n'est une éventuelle coïncidence de raison sociale et de but social, n'accrédite la supposition de l'appelante en ce qui concerne la création de D______ SA (le courriel du client russe contacté faisant en particulier ressortir que sa relation d'affaires avec l'appelante se poursuivrait) et de factures temporairement non réglées. Quant à d'éventuels manquements dans les procédures de handover, à supposer qu'ils soient rendus vraisemblables, leur lien avec les atteintes prétendues n'est pas non plus apparent, sous l'angle de la vraisemblance; peu importe donc que les éléments requis aient été communiqués, en totalité ou non, et cas échéant avec retard par l'intimé. Rien de déterminant ne peut par ailleurs être tiré des courriels de l'intimé à l'appelante (le fait que l'intimé, sans qu'il ne lui soit communiqué de détail, ait rappelé qu'il s'entretenait en russe avec sa famille alors qu'une fois davantage renseigné il a évoqué un tiers non client de l'appelante, ou qu'il ait par hypothèse</w:t>
      </w:r>
    </w:p>
    <w:p>
      <w:r>
        <w:t>- 12/14 -</w:t>
      </w:r>
    </w:p>
    <w:p>
      <w:r>
        <w:t>C/13098/2023 varié dans les raisons liées à sa requête d'augmentation de salaire), quoi qu'en affirme celle-ci. L'appelante reproche aussi aux premiers juges de ne pas avoir vu dans la formulation réservée par l'intimé à la réponse qu'il lui avait adressée le 23 mai 2023 une trace d'intention de violer ses obligations de fidélité. Cette formulation ne révèle cependant rien de pertinent: si effectivement l'intimé n'a pas suivi scrupuleusement les termes que l'appelante l'invitait à utiliser, il n'est pas rendu vraisemblable qu'il aurait sciemment et à dessein recherché une autre expression à la signification supposément plus neutre voire distincte. Quand bien même l'intimé aurait agi avec conscience et volonté, on peine à entrevoir quel argument l'appelante pourrait en déduire; cas échéant, ne pas exprimer que l'on connaît ses obligations est sans effet sur d'éventuels respect ou transgression futurs desdites obligations, contrairement à ce qu'affirme l'appelante. 5.3.2 A bien la comprendre, l'appelante fonde la même conclusion sur son droit découlant de l'art. 28 CC, voyant un risque d'atteinte à sa personnalité sociale et à sa réputation dans un possible traitement illicite des données qu'elle qualifie de "dérobées", ainsi qu'à ses intérêts financiers, en raison de la rupture du lien de confiance avec sa clientèle. Elle évoque aussi les faits nouvellement allégués à cet égard. Ce faisant, elle affirme sa propre version, sans pour autant la rendre vraisemblable, ce qu'il lui incombe de faire. A nouveau, comme retenu ci-dessus, les faits des 13 avril 2023 et 9 juin 2023 ne suffisent pas à rendre vraisemblable l'atteinte soutenue. Ainsi, pour autant qu'il soit suffisamment motivé, le grief est infondé. 5.3.3 L'appel ne comporte pas de motivation spécifiquement consacrée au rejet par les premiers juges des conclusions en interdiction de contacter des clients ou des employés ainsi que des conclusions en interdiction d'entreprendre tout acte discréditant l'appelante. Le raisonnement de celle-ci est en effet consacré au supposé risque général d'exploitation et de diffusion de données, sans autres développement. A supposer que ces conclusions aient une portée propre, il n'y sera donc pas revenu, la Cour faisant cas échéant siens les considérants du Tribunal qui ont évoqué ces points. 5.3.4 En ce qui concerne la conclusion de première instance en dépôt des supports électroniques sur lesquels se trouveraient des données, il s'agit d'emblée de relever qu'elle a été modifiée en appel puisqu'elle tend nouvellement à une restitution desdits supports. Autant que cette modification de conclusion soit recevable, en retenant qu'elle procéderait d'une réduction (cf arrêts du Tribunal fédéral 5A_621/2012 du 20 mars 2013 consid. 4.3.2 et 5A_456/2016 du 28 octobre 2016 consid. 4.2.2), il y a lieu d'observer ce qui suit. Comme l'a relevé à raison le Tribunal, l'appelante est titulaire d'une prétention en restitution des documents et</w:t>
      </w:r>
    </w:p>
    <w:p>
      <w:r>
        <w:t>- 13/14 -</w:t>
      </w:r>
    </w:p>
    <w:p>
      <w:r>
        <w:t>C/13098/2023 données obtenus par l'intimé dans le cadre de son emploi; en revanche, elle ne dispose d'aucun droit sur les supports de ceux-ci (ordinateurs et téléphones portables) dont elle ne prétend pas qu'ils lui appartiendraient. A cet égard, les premiers juges ont pertinemment relevé que la proportionnalité commanderait une mesure moins incisive, telle que la remise des documents litigieux sur clé USB avec garantie de n'en avoir pas conservé copie, ce à quoi il aurait sans doute pu être donné droit, pour autant qu'il ait été considéré que la formulation inappropriée de la conclusion (désormais rectifiée en appel) en question n'y faisait pas obstacle. L'appelante faisant cependant valoir expressément ne pouvoir envisager "une mesure adéquate moins incisive que celle sollicitée dans sa conclusion", la question de la proportionnalité ne sera pas examinée plus avant dans le sens esquissé par le Tribunal. L'intérêt de l'appelante à obtenir le retour de copie de données, alors qu'elle entend en réalité faire en sorte que l'intimé ne les exploite pas, n'apparaît au reste pas clairement.</w:t>
      </w:r>
    </w:p>
    <w:p>
      <w:r>
        <w:rPr>
          <w:b/>
        </w:rPr>
        <w:t>E. 6</w:t>
      </w:r>
    </w:p>
    <w:p>
      <w:r>
        <w:t>En définitive, au vu de ce qui précède, le jugement attaqué sera confirmé.</w:t>
      </w:r>
    </w:p>
    <w:p>
      <w:r>
        <w:rPr>
          <w:b/>
        </w:rPr>
        <w:t>E. 7</w:t>
      </w:r>
    </w:p>
    <w:p>
      <w:r>
        <w:t>L'appelante, qui succombe, supportera les frais de son appel (art. 106 al. 1 CPC). Ceux-ci seront arrêtés à 1'000 fr. (art. 71 RTFMC), compensés avec l'avance opérée, acquise à l'ETAT DE GENEVE.</w:t>
      </w:r>
    </w:p>
    <w:p>
      <w:r>
        <w:t>Il n'est pas alloué de dépens (art. 22 al. 2 LaCC). * * * * *</w:t>
      </w:r>
    </w:p>
    <w:p>
      <w:r>
        <w:t>- 14/14 -</w:t>
      </w:r>
    </w:p>
    <w:p>
      <w:r>
        <w:t>C/13098/2023 PAR CES MOTIFS, La Chambre des prud'hommes : A la forme : Déclare recevable l'appel formé par A______ SA contre le jugement rendu par le Tribunal des prud'hommes le 22 décembre 2023. Au fond : Confirme ce jugement. Déboute les parties de toutes autres conclusions. Sur les frais: Arrête les frais d'appel à 1'000 fr., compensés avec l'avance opérée, acquise à l'ETAT DE GENEVE. Les met à la charge de A______ SA. Dit qu'il n'est pas alloué de dépens. Siégeant : Madame Sylvie DROIN, présidente;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