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CAPH/61/2005 vom 21. März 2005</w:t>
      </w:r>
    </w:p>
    <w:p>
      <w:r>
        <w:t>GE Cour de justice, 2005-03-21, FR</w:t>
      </w:r>
    </w:p>
    <w:p>
      <w:r>
        <w:rPr>
          <w:b/>
        </w:rPr>
        <w:t xml:space="preserve">Quelle: </w:t>
      </w:r>
      <w:r>
        <w:t>https://mcp.opencaselaw.ch/entscheid/ge_gerichte_CAPH_61_2005</w:t>
      </w:r>
    </w:p>
    <w:p>
      <w:r>
        <w:t>FR: GE_GERICHTE CAPH/61/2005 du 21 mars 2005</w:t>
      </w:r>
    </w:p>
    <w:p>
      <w:r>
        <w:t>IT: GE_GERICHTE CAPH/61/2005 del 21 marzo 2005</w:t>
      </w:r>
    </w:p>
    <w:p>
      <w:pPr>
        <w:pStyle w:val="Heading2"/>
      </w:pPr>
      <w:r>
        <w:t>Regeste</w:t>
      </w:r>
    </w:p>
    <w:p>
      <w:r>
        <w:t>Résumé: T est engagé comme chef de vente à mi-temps d'une entreprise de télécommunication. Son contrat de travail initial détaillé prévoit que les heures supplémentaires ne sont ni payées ni compensées. Suite à la promotion de T au poste de directeur général, E lui adresse une lettre fixant sa nouvelle rémunération. Un avenant au contrat est par ailleurs signé, portant sur le paiement de commissions. Ladite lettre, qui ne règle pas la question des heures supplémentaires, ne peut être comprise comme un nouveau contrat annulant le premier; elle doit être interprétée comme une modification du contrat initial, laissant subsister la clause de renonciation aux heures supplémentaires, de telle sorte que T, qui a une fonction dirigeante, n'a pas droit au paiement de celles-ci. E n'ayant pas répondu à un courriel de T dans lequel celui-ci réclamait le paiement "comme convenu" d'un bonus, il doit se laisser opposer les conséquence de son silence, car il ne pouvait de bonne foi se taire s'il contestait l'accord intervenu. T a donc droit à un bonus pour cette année-là. Par contre, en l'absence de la preuve d'un accord quant à une gratification pour les années suivantes, T n'y a pas droit. T a droit au paiement des vacances non prises. Il n'a pas droit au paiement de frais de repas, ne les prouvant pas et ayant au demeurant déjà reçu une somme conséquente à titre de remboursement de frais pendant cette période. T ne démontrant pas que son congé aurait été donné en relation avec ses demandes de bonus ni qu'il aurait été harcelé par l'actionnaire principal, avec lequel il est certes établi que des tensions existaient, il doit être débouté de ses conclusions y relatives.</w:t>
      </w:r>
    </w:p>
    <w:p>
      <w:pPr>
        <w:pStyle w:val="Heading2"/>
      </w:pPr>
      <w:r>
        <w:t>Erwägungen</w:t>
      </w:r>
    </w:p>
    <w:p>
      <w:r>
        <w:rPr>
          <w:b/>
        </w:rPr>
        <w:t>E. 2</w:t>
      </w:r>
    </w:p>
    <w:p>
      <w:r>
        <w:t>T________ conclut tout d’abord au paiement de 88'812 fr. 50 à titre de rémunération des heures supplémentaires.</w:t>
      </w:r>
    </w:p>
    <w:p>
      <w:r>
        <w:rPr>
          <w:b/>
        </w:rPr>
        <w:t>E. 2.1</w:t>
      </w:r>
    </w:p>
    <w:p>
      <w:r>
        <w:t>A teneur de l’art. 321c CO, si les circonstances exigent des heures de travail plus nombreuses que le prévoit le contrat ou l’usage, un contrat-type de travail ou une convention collective, le travailleur est tenu d’exécuter ce travail supplémentaire, dans la mesure où il peut s’en charger et où les règles de la bonne foi permettent de le lui demander (al. 1).</w:t>
      </w:r>
    </w:p>
    <w:p>
      <w:r>
        <w:t>L’employeur est tenu de rétribuer les heures de travail supplémentaires qui ne sont pas compensées par un congé en versant un salaire normal majoré d’un quart au moins, sauf clause contraire d’un accord écrit, d’un contrat- type de travail ou d’une convention collective (al. 3).</w:t>
      </w:r>
    </w:p>
    <w:p>
      <w:r>
        <w:rPr>
          <w:b/>
        </w:rPr>
        <w:t>E. 2.2</w:t>
      </w:r>
    </w:p>
    <w:p>
      <w:r>
        <w:t>En l’espèce, la discussion consiste à déterminer si les parties sont liées par le contrat de travail du 23 septembre 1999, qui exclut la rémunération des heures supplémentaires, ou par la lettre du 4 avril 2000, qui ne prévoit rien de spécifique à ce sujet.</w:t>
      </w:r>
    </w:p>
    <w:p>
      <w:r>
        <w:t>Selon T_______, qui a admis la validité du contrat du 23 septembre 1999, y compris sa renonciation écrite au paiement des heures supplémentaires, la situation était différente dès le 1er mars 2000, les parties ayant signé un nouveau contrat le 4 avril 2000, qui ne stipulait rien au sujet des heures</w:t>
      </w:r>
    </w:p>
    <w:p>
      <w:r>
        <w:t>Juridiction des prud’hommes</w:t>
      </w:r>
    </w:p>
    <w:p>
      <w:r>
        <w:t>Cause n° C/14144/2003 – 3 10</w:t>
      </w:r>
    </w:p>
    <w:p>
      <w:r>
        <w:t>* COUR D’APPEL *</w:t>
      </w:r>
    </w:p>
    <w:p>
      <w:r>
        <w:t>supplémentaires. Il avait donc droit au paiement desdites heures à compter de la date à laquelle rétroagissait ce nouveau contrat.</w:t>
      </w:r>
    </w:p>
    <w:p>
      <w:r>
        <w:t>Le Tribunal et E_______ ne partagent pas ce point de vue et il convient en conséquence d’interpréter les textes en cause.</w:t>
      </w:r>
    </w:p>
    <w:p>
      <w:r>
        <w:rPr>
          <w:b/>
        </w:rPr>
        <w:t>E. 2.3</w:t>
      </w:r>
    </w:p>
    <w:p>
      <w:r>
        <w:t>Les parties ont signé trois documents qui définissent leurs obligations réciproques (pièces 3 à 5 chargé T________). La première pièce est intitulée « CONTRAT DE TRAVAIL » ; elle a été signée par les parties le 23 septembre 1999 et comporte 8 pages stipulant de manière détaillée l’emploi, les tâches, l’entrée en fonction, les obligations de l’employé, celles de l’employeur, le temps d’essai, la fin des rapports de travail et, dans les annexes, les conditions d’engagement, le cahier des charges et les objectifs assignés au travailleur et l’interdiction de faire concurrence. La seconde pièce est la lettre du 4 avril 2000 de E_______ à T_________ confirmant sa promotion au rang de directeur et lui adressant une proposition d’adaptation du salaire. La troisième est une annexe au contrat de travail, sans préciser la date de celui-ci, développant la manière dont les commissions devraient être payées, datée du 4 mai 2000.</w:t>
      </w:r>
    </w:p>
    <w:p>
      <w:r>
        <w:t>Le contrat de travail écrit prévoit expressément que les heures supplémentaires ne sont ni rémunérées ni compensées, ce que le travailleur accepte. Les autres pièces ne disent mot de cette question. A rigueur de texte et de logique, il n’est pas possible de considérer que la lettre du 4 avril 2000 constitue un nouveau contrat de travail qui se suffirait à lui-même et qui exclurait toute référence à un autre acte. D’une part, ceci n’est pas exprimé en autant de termes et, surtout, il serait pour le moins incongru de signer un contrat de travail quasi exhaustif pour un poste à mi-temps de chef de vente rémunéré 30’000 fr. par an et de se référer à une banale lettre tenant sur une page ne définissant rien d’autre que le titre de la fonction et la rémunération de 72'000 fr. par an, pour l’engagement d’un directeur général. La lettre du</w:t>
      </w:r>
    </w:p>
    <w:p>
      <w:r>
        <w:rPr>
          <w:b/>
        </w:rPr>
        <w:t>E. 4</w:t>
      </w:r>
    </w:p>
    <w:p>
      <w:r>
        <w:t>T______ admet les chiffres retenus par les premiers juges s’agissant du paiement des vacances non prises en nature. E_______, sans étayer excessivement sa position, conteste ce poste. Pourtant, elle n’a jamais contesté que T________ avait travaillé le 1er août 2002 ni qu’il avait cessé son activité à fin janvier 2003 sans avoir pris de vacances l’année en cours ni l’année précédente.</w:t>
      </w:r>
    </w:p>
    <w:p>
      <w:r>
        <w:t>On ne saurait en l’espèce demander au travailleur de prendre ses vacances lors du délai de congé en raison de son obligation de chercher un autre emploi, ce qu’il n’a pu faire dans le laps de temps dont il disposait (art. 329 al. 3 CO). Cette recherche était en effet incompatible avec la prise effective de vacances et, au vu de l’ensemble des circonstances du cas présent, telles que la durée du délai de congé, la difficulté à trouver un autre travail avérée par la période de chômage qui s’ensuivit, du fait qu’il s’agissait d’un emploi important au vu des qualifications de l’employé, l’employeur devait payer les vacances non prises en espèces à la fin des rapports de travail (ATF du 24 novembre 1992, cité par Aubert in SJ 1993, p. 354 ; Brunner/Bühler/Waeber, Commentaire du contrat de travail, ad art. 329d CO n. 4 ; Aubert, Le droit des vacances : quelques problèmes pratiques, in Journée 1990 du droit du travail et de la sécurité sociale, p. 129/130).</w:t>
      </w:r>
    </w:p>
    <w:p>
      <w:r>
        <w:t>Juridiction des prud’hommes</w:t>
      </w:r>
    </w:p>
    <w:p>
      <w:r>
        <w:t>Cause n° C/14144/2003 – 3 14</w:t>
      </w:r>
    </w:p>
    <w:p>
      <w:r>
        <w:t>* COUR D’APPEL *</w:t>
      </w:r>
    </w:p>
    <w:p>
      <w:r>
        <w:t>Au surplus, les calculs effectués par les premiers juges pour les jours à compenser (vacances non prises et jour férié) ne sont pas contestés et seront donc confirmés.</w:t>
      </w:r>
    </w:p>
    <w:p>
      <w:r>
        <w:rPr>
          <w:b/>
        </w:rPr>
        <w:t>E. 5</w:t>
      </w:r>
    </w:p>
    <w:p>
      <w:r>
        <w:t>T________ conclut au paiement d’un montant de 9'450 fr. à titre de frais de nourriture qui ne lui auraient pas été remboursés par E_______. Ce chiffre correspond à une extrapolation dont T______ ne donne pas les clés ; il retient sans référence à un tarif quelconque une charge de 75 fr. par jour (petit déjeuner 10.-, repas de midi 25.-, repas du soir 35.-, divers 5.-) qu’il multiplie par 126 jours, soit l’intégralité des jours qu’il a passés à Zürich selon son propre décompte. Or, pour cette période, il est établi par pièces qu’il a déjà perçu plus de 17'000 fr., dont près de 3'000 fr. rien que pour la nourriture. De plus, les jours en question comprennent ceux nécessaires aux trajets, ce qui diminue d’autant certains postes.</w:t>
      </w:r>
    </w:p>
    <w:p>
      <w:r>
        <w:t>Qui plus est, les enquêtes ont démontré que E______ remboursait les frais attestés par quittances, et uniquement ceux-là, solution à laquelle ont eu recours les employés exposés à cette situation, à leur satisfaction. Il s’ensuit que T________ ne saurait aujourd’hui prétendre au remboursement de frais dont il ne démontre pas la réalité et alors que des frais importants lui ont d’ores et déjà été remboursés pour la même période, selon une procédure qu’il connaissait, ce qu’il admet.</w:t>
      </w:r>
    </w:p>
    <w:p>
      <w:r>
        <w:t>Il sera enfin observé que l’employé aurait nécessairement encourus des frais de repas qu’il aurait dû supporter s’il n’avait pas été détaché à Zürich, qui constituait un autre lieu de travail de l’employeur.</w:t>
      </w:r>
    </w:p>
    <w:p>
      <w:r>
        <w:t>Le jugement sera par conséquent également confirmé sur ce point, le maintien de la prétention de T______ à ce sujet se situant à l’orée de la témérité.</w:t>
      </w:r>
    </w:p>
    <w:p>
      <w:r>
        <w:rPr>
          <w:b/>
        </w:rPr>
        <w:t>E. 6</w:t>
      </w:r>
    </w:p>
    <w:p>
      <w:r>
        <w:t>T______ conclut enfin au versement d’une indemnité de 33'333 fr. 40 en considérant son licenciement comme abusif. Il a invoqué en première instance l’application de l’article 336 al. 1 let. d CO ainsi que de la disposition concernant la protection de la personnalité de l’employé (328 CO), exposant que son congé avait en réalité été motivé par ses requêtes tendant au paiement du bonus promis et avait été prononcé en violation des règles sur la protection de sa personnalité. En appel, il met principalement en exergue le fait que les avertissements qu’il avait adressés à sa direction, en parfaite exécution de ses obligations découlant de l’art. 321 a CO, avaient été interprétés contrairement aux règles de la bonne foi.</w:t>
      </w:r>
    </w:p>
    <w:p>
      <w:r>
        <w:t>Juridiction des prud’hommes</w:t>
      </w:r>
    </w:p>
    <w:p>
      <w:r>
        <w:t>Cause n° C/14144/2003 – 3 15</w:t>
      </w:r>
    </w:p>
    <w:p>
      <w:r>
        <w:t>* COUR D’APPEL *</w:t>
      </w:r>
    </w:p>
    <w:p>
      <w:r>
        <w:rPr>
          <w:b/>
        </w:rPr>
        <w:t>E. 6.1</w:t>
      </w:r>
    </w:p>
    <w:p>
      <w:r>
        <w:t>L’art. 336 al. 1 let. d CO vise le congé donné par une partie lorsque l’autre fait valoir de bonne foi des prétentions découlant du contrat de travail, soit le congé dit de représailles. Selon la doctrine, est notamment considéré comme un congé représailles le licenciement donné à un employé lorsque ce dernier estime de bonne foi qu’il a été harcelé et qu’il s’en plaint en vue d’obtenir un changement d’attitude de sa supérieure hiérarchique. Cette démarche est analogue à une activité syndicale et le travailleur entend faire respecter sa personnalité conformément à l’art. 328 CO (Wyler, Droit du travail, 2002, p. 405).</w:t>
      </w:r>
    </w:p>
    <w:p>
      <w:r>
        <w:t>Pour qu’un congé soit abusif, il faut d’une part que le motif du congé soit lui-même abusif et d’autre part qu’il y ait un lien de causalité entre ce motif et le congé donné : le licenciement ne peut et ne doit être considéré comme abusif que parce qu’il a été prononcé pour un motif qui n’est pas digne de protection (FF 1984 II 622 ; ATF du 11 novembre 1993, W. S.A. c/ M., p. 6 et 7).</w:t>
      </w:r>
    </w:p>
    <w:p>
      <w:r>
        <w:t>La preuve du caractère abusif du congé incombe à la partie à laquelle celui- ci est signifié (art. 8 CC ; ATF 123 III 251, c. 4b = JdT 1998, p. 305).</w:t>
      </w:r>
    </w:p>
    <w:p>
      <w:r>
        <w:t>A teneur de l’art. 336b al 1 CO, il incombe à la partie qui entend obtenir une indemnité pour licenciement abusif au sens de l’art. 336a al.1 CO de faire opposition au congé par écrit au plus tard jusqu’à la fin du délai de congé. En outre, la réclamation d’une indemnité est soumise à la condition au délai de péremption de 180 jours à compter de la fin du contrat de travail prévu par l’art. 336b al. 2 CO.</w:t>
      </w:r>
    </w:p>
    <w:p>
      <w:r>
        <w:rPr>
          <w:b/>
        </w:rPr>
        <w:t>E. 6.2</w:t>
      </w:r>
    </w:p>
    <w:p>
      <w:r>
        <w:t>En l’espèce, les conditions d’exercice de la prétention sont réalisées.</w:t>
      </w:r>
    </w:p>
    <w:p>
      <w:r>
        <w:rPr>
          <w:b/>
        </w:rPr>
        <w:t>E. 6.3</w:t>
      </w:r>
    </w:p>
    <w:p>
      <w:r>
        <w:t>Aucun élément du dossier ne permet de considérer que le licenciement de T________ aurait été en relation avec une prétention élevée par ce dernier. A fortiori, T_______ ne démontre pas le lien de causalité entre le congé et ses prétentions en paiement du bonus.</w:t>
      </w:r>
    </w:p>
    <w:p>
      <w:r>
        <w:t>Le harcèlement invoqué n’est pas plus établi. Certes, les relations de travail n’ont pas évolué favorablement et les sujets d’accrochages se sont accrus au fil du temps. Il ressort ainsi des enquêtes et des pièces produites que T_______ et A_______ entretenaient des échanges électroniques acerbes, démontrant l’existence de tensions. Toutefois, T_______ agissait, ou réagissait, avec énergie, sans apparaître soumis à l’administrateur principal, ni détruit par l’évolution de cette relation. Certes encore, la lecture du rapport de la séance de direction du 4 décembre 2002 n’enseigne pas que les mérites de l’employé étaient mis en valeur par ledit administrateur, mais que son travail était principalement considéré au travers de ce qui pouvait lui</w:t>
      </w:r>
    </w:p>
    <w:p>
      <w:r>
        <w:t>Juridiction des prud’hommes</w:t>
      </w:r>
    </w:p>
    <w:p>
      <w:r>
        <w:t>Cause n° C/14144/2003 – 3 16</w:t>
      </w:r>
    </w:p>
    <w:p>
      <w:r>
        <w:t>* COUR D’APPEL *</w:t>
      </w:r>
    </w:p>
    <w:p>
      <w:r>
        <w:t>être reproché. En outre, plusieurs témoins ont confirmé l’interventionnisme accru du président de l’entreprise et sa peine ou son refus de déléguer, mais ceci d’une manière générale, dirigée contre l’ensemble du personnel. Il n’apparaît ainsi pas que A_____ aurait adopté un comportement spécifique et rabaissant vis-à-vis de T______ et rien ne vient confirmer la thèse du harcèlement.</w:t>
      </w:r>
    </w:p>
    <w:p>
      <w:r>
        <w:t>D’autre part, il convient de garder à l’esprit que les tensions existaient déjà avant l’automne 2002 et que T_______ avait émis la possibilité d’un départ anticipé ou d’un renvoi. Ces tensions avaient été exacerbées par la gestion de certains dossiers et on ne saurait reprocher à un employeur de s’inquiéter du dépassement important d’une ligne de crédit, la position divergente d’un directeur à ce sujet ne suffisant à faire taire les soucis issus d’un tel contexte. De surcroît, les courriels échangés le 22 octobre 2002 démontrent que les divergences entre T_______ et A_______ étaient profondes déjà plusieurs mois avant le licenciement. Peu importe, dès lors, que l’employé ait été congédié en raison de cette divergence et probablement même en raison du fait qu’il tentait de faire respecter sa position de directeur général au sein de la société. Ce faisant, ce n’est pas sa personnalité, mais bien sa fonction qu’il défendait de la sorte.</w:t>
      </w:r>
    </w:p>
    <w:p>
      <w:r>
        <w:t>Si l’employé avait eu la conviction d’avoir été évincé en raison des prétentions financières qu’il avançait, il n’eût certainement pas adressé à E________ le courrier du 15 janvier 2003, dans lequel il n’invoque aucune souffrance ni difficulté personnelle, pas plus qu’il n’évoque le versement des gratifications. Nulle mention de harcèlement moral ne figure non plus dans son courrier de contestation du congé du 10 février 2003, ni dans aucun autre d’ailleurs. Certes, cette observation ne signifie pas encore que l’employé n’aurait pas subi de pressions sur son poste de travail pouvant s’apparenter à du harcèlement moral. Toutefois, les enquêtes n’ont rien apporté de concluant allant dans le sens de la prétention de T______. Celui- ci a donc failli dans l’apport de la preuve qui lui incombait et la réalité du dossier ne permet donc pas de retenir l’existence d’un licenciement abusif. Le jugement entrepris sera en conséquence confirmé sur ce point également.</w:t>
      </w:r>
    </w:p>
    <w:p>
      <w:r>
        <w:rPr>
          <w:b/>
        </w:rPr>
        <w:t>E. 7</w:t>
      </w:r>
    </w:p>
    <w:p>
      <w:r>
        <w:t>A teneur de l’art. 78 al.1 LJP, l’émolument de mise au rôle est supporté par la partie qui succombe.</w:t>
      </w:r>
    </w:p>
    <w:p>
      <w:r>
        <w:t>En l’espèce, chaque partie succombant dans son appel, les émoluments perçus resteront acquis à l’Etat et les parties supporteront celui qu’elles ont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