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CAPH/59/2022 vom 27. April 2022</w:t>
      </w:r>
    </w:p>
    <w:p>
      <w:r>
        <w:t>GE Cour de justice, 2022-04-27, FR</w:t>
      </w:r>
    </w:p>
    <w:p>
      <w:r>
        <w:rPr>
          <w:b/>
        </w:rPr>
        <w:t xml:space="preserve">Quelle: </w:t>
      </w:r>
      <w:r>
        <w:t>https://mcp.opencaselaw.ch/entscheid/ge_gerichte_CAPH_59_2022</w:t>
      </w:r>
    </w:p>
    <w:p>
      <w:r>
        <w:t>FR: GE_GERICHTE CAPH/59/2022 du 27 avril 2022</w:t>
      </w:r>
    </w:p>
    <w:p>
      <w:r>
        <w:t>IT: GE_GERICHTE CAPH/59/2022 del 27 aprile 2022</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92 al. 1, 308 al. 2 CPC), dans le délai utile de trente jours et selon la forme prescrite par la loi (art. 130 al. 1, 142 al. 1, 145 al. 1 let. b, 311 al. 1 CPC), l'appel est recevable.</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 et suffisamment motivés (ATF 141 III 569 consid. 2.3.3).</w:t>
      </w:r>
    </w:p>
    <w:p>
      <w:r>
        <w:rPr>
          <w:b/>
        </w:rPr>
        <w:t>E. 1.3</w:t>
      </w:r>
    </w:p>
    <w:p>
      <w:r>
        <w:t>La valeur litigieuse en première instance étant inférieure à 30'000 fr., la procédure simplifiée s'applique et le procès est régi par la maxime inquisitoire sociale (art. 55, 243 et art. 247 al. 2 let. b ch. 2 CPC; pour plus de détails, cf. ci- dessous consid. 4.1.6).</w:t>
      </w:r>
    </w:p>
    <w:p>
      <w:r>
        <w:rPr>
          <w:b/>
        </w:rPr>
        <w:t>E. 2</w:t>
      </w:r>
    </w:p>
    <w:p>
      <w:r>
        <w:t>L'appelant produit des pièces nouvelles et allègue des faits nouveaux.</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L'art. 317 al. 1 CPC</w:t>
      </w:r>
    </w:p>
    <w:p>
      <w:r>
        <w:t>- 11/19 -</w:t>
      </w:r>
    </w:p>
    <w:p>
      <w:r>
        <w:t>C/2149/2020-1 est applicable même lorsque la cause est soumise à la maxime inquisitoriale sociale (ATF 144 III 349 consid. 4.2.1). Si les moyens de preuve nouvellement offerts se rapportent à des faits survenus avant la clôture de la procédure probatoire de première instance (faux nova),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 du Tribunal fédéral 5A_86/2016 du</w:t>
      </w:r>
    </w:p>
    <w:p>
      <w:r>
        <w:rPr>
          <w:b/>
        </w:rPr>
        <w:t>E. 2.2</w:t>
      </w:r>
    </w:p>
    <w:p>
      <w:r>
        <w:t>En l'espèce, les allégations et pièces nouvelles de l'appelant visent l'application de la Convention collective nationale du secteur principal de la construction en Suisse, application qui n'était pas contestée par l'intimée devant le Tribunal. L'appelant pouvait donc croire qu'il n'était pas nécessaire de présenter lesdites allégations et pièces, de sorte qu'elles sont recevables en appel, même si elles ne sont pas décisives (cf. consid. 4.2 ci-dessous). 3. L'appelant fait grief au Tribunal d'avoir considéré que les parties étaient liées par un contrat de durée déterminée.</w:t>
      </w:r>
    </w:p>
    <w:p>
      <w:r>
        <w:t>3.1 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w:t>
      </w:r>
    </w:p>
    <w:p>
      <w:r>
        <w:t>- 12/19 -</w:t>
      </w:r>
    </w:p>
    <w:p>
      <w:r>
        <w:t>C/2149/2020-1 grandeur du délai. La durée peut être limitée par référence au but du travail convenu, par exemple le temps d'un chantier (WYLER/HEINZER, Droit du travail, 4ème éd. 2019, p. 609-610) ou jusqu'à la fin des travaux de construction (CARRON, Commentaire du contrat de travail, 2013, N. 9 ad art. 334 CO)..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 compte des déclarations des parties et des circonstances, dont l'établissement relève du fait (ATF 133 III 675 consid. 3.3; 132 III 626 consid. 3.1). 3.2 En l'espèce, les six employés ont allégué qu'ils avaient été engagés par l'intimée pour une durée indéterminée. Cependant, les éléments recueillis par le Tribunal établissent que tel n'était pas le cas. Interrogé par le Tribunal, l'appelant a lui-même déclaré que E______ avait indiqué "depuis le début" aux employés que les contrats prendraient fin à la fin des chantiers, même s'il n'avait pas donné de date exacte. De plus, l'appelant a déclaré, sans évoquer un licenciement, que son contrat avait pris fin le</w:t>
      </w:r>
    </w:p>
    <w:p>
      <w:r>
        <w:rPr>
          <w:b/>
        </w:rPr>
        <w:t>E. 5</w:t>
      </w:r>
    </w:p>
    <w:p>
      <w:r>
        <w:t>septembre 2016 consid. 2.2). Des faux nova sont excusables lorsque le comportement de la partie adverse en première instance a permis de croire qu'il n'était pas nécessaire de les présenter ou lorsqu'un thème est abordé pour la première fois en appel (arrêt du Tribunal fédéral 5A_697/2020 du 22 mars 2021 consid. 3non publié in ATF 147 III 491).</w:t>
      </w:r>
    </w:p>
    <w:p>
      <w:r>
        <w:rPr>
          <w:b/>
        </w:rPr>
        <w:t>E. 7</w:t>
      </w:r>
    </w:p>
    <w:p>
      <w:r>
        <w:t>septembre 2019. Lors de son interrogatoire par le Tribunal, H______ a déclaré qu'il n'avait pas été licencié et qu'il avait travaillé du 17 juillet au 6 septembre 2019, ce qui correspondait à la période des vacances scolaires. Le contrat du témoin L______ a pris fin au terme des travaux et celui du témoin M______, qui n'a évoqué aucun licenciement, a duré du mois de juillet au 7 septembre 2019. Ces éléments permettent de retenir que les parties étaient en mesure de connaître de façon suffisamment précise la fin des rapports de travail déjà au moment de la conclusion du contrat. C'est ainsi à juste titre que le Tribunal a retenu qu'elles étaient liées par un contrat de durée déterminée et qu'il a rejeté les prétentions de l'appelant visant la période postérieure à son dernier jour de travail. 4. L'appelant fait grief au Tribunal d'avoir déterminé son salaire sur la base de la Convention collective romande du second œuvre et d'avoir écarté l'application de la Convention nationale du secteur principal de la construction en Suisse et de son annexe 18, soit la Convention complémentaire "Genève". 4.1 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w:t>
      </w:r>
    </w:p>
    <w:p>
      <w:r>
        <w:t>- 13/19 -</w:t>
      </w:r>
    </w:p>
    <w:p>
      <w:r>
        <w:t>C/2149/2020-1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 4.1.1 La Convention nationale du secteur principal de la construction en Suisse, CN 2012-2015, conclue le 28 mars 2012, a fait l’objet d’un arrêté d’extension du Conseil fédéral du 15 janvier 2013 par lequel la CCT a été déclarée de force obligatoire depuis le 1er février 2013 jusqu’au 31 décembre 2015. La CCT a ensuite été renégociée entre les différents partenaires et une convention modifiée, la CN 2016-2018, est entrée en vigueur le 1er janvier 2016. Le Conseil fédéral a déclaré la CN 2016-2018 de force obligatoire à compter du 1er juillet 2016 jusqu’au 31 décembre 2018, par arrêté du 14 juin 2016, puis du 1er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 4.1.2 La Convention collective romande du second œuvre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w:t>
      </w:r>
    </w:p>
    <w:p>
      <w:r>
        <w:t>- 14/19 -</w:t>
      </w:r>
    </w:p>
    <w:p>
      <w:r>
        <w:t>C/2149/2020-1 réparation de stores, revêtements d’intérieur, marbrerie, décoration d’intérieur et courtepointière. 4.1.3 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1er juillet 2013 consid. 3.1). 4.1.4 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 4.1.5 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 4.1.6 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w:t>
      </w:r>
    </w:p>
    <w:p>
      <w:r>
        <w:t>- 15/19 -</w:t>
      </w:r>
    </w:p>
    <w:p>
      <w:r>
        <w:t>C/2149/2020-1 consid. 7 non publié in ATF 143 III 344;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 4.2 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H______ et G______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l'appelant montrent des ouvriers qui exécutent des travaux de gros œuvre sur les chantiers de l'intimée. L'organigramme figurant au dossier mentionne des travaux de démolition à effectuer sur trois étages dans le cadre du chantier "Q______". Par ailleurs, le but social de l'intimée comprend l'exécution de travaux de construction de tous types</w:t>
      </w:r>
    </w:p>
    <w:p>
      <w:r>
        <w:t>- 16/19 -</w:t>
      </w:r>
    </w:p>
    <w:p>
      <w:r>
        <w:t>C/2149/2020-1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E______ - qui a qualifié les travaux en question de "travaux de démontage" sans autre explication et en contradiction avec l'organigramme susmentionné - n'étant pas suffisante. Enfin, l'intimée ne conteste pas que les pièces nouvelles de l'appelant corroborent son assujettissement à la CN 2019-2022 invoquée par les six employés. Au vu de ce qui précède, il y a lieu de retenir que l'intimée est une entreprise mixte non authentique, dont l'activité relevait de manière prépondérante de la CN 2019-2022, même si une partie de son activité (plâtrerie et peinture sur des chantiers situés à Genève) pouvait ressortir du champ d'application de la CCT- SOR. Il sera donc fait application de la CN 2019-2022 et de ses annexes. 4.2.1 L'appelant reproche au Tribunal de s'être fondé uniquement sur la liste déposée par le témoin L______ et d'avoir ainsi retenu que l'intimée ne lui devait, pour sa période d'activité, que le salaire afférent à 230 heures de travail. En première instance, l'intimée n'a pas contesté les allégations de l'appelant selon lesquelles il avait effectué 25 heures en juillet 2019, 213 heures en août 2019 et 50 heures en septembre 2019, soit au total 288 heures. L'intimée n'a en outre pas tenu un registre des durées quotidienne et hebdomadaire du travail fourni par les employés. La liste établie par le "responsable de la supervision des travaux" ne mentionne que le total des heures effectuées par l'appelant durant la période du 29 juillet au 1er septembre 2019 (243,5 heures). Ledit responsable a confirmé que les employés avaient travaillé le mois précédent ("le premier mois"), ainsi qu'en septembre 2019 (pour le moins "lorsqu'ils [étaient] partis à Berne"). Dans ces conditions, il y a lieu de retenir le nombre d'heures allégué par l'employé et résultant du décompte qu'il a lui-même établi. Il n'est pas contesté qu'en 2019, le salaire horaire d'un "ouvrier de la construction", soit un "travailleur de la construction sans connaissances professionnelles" (classe de salaire C) à Genève ("zone rouge") était de 26 fr. 30 bruts (art 41 al. 2 CN 2019-2022). Le montant dû à l'appelant s'élève ainsi à 7'574 fr. 40 bruts (288 heures x 26 fr. 30), A ce montant, il faut ajouter une indemnité de 10,6 % pour les vacances (art. 34 al. 1 et 50 al. 3 CN 2019-2022), soit 802 fr. 90 bruts (10,6 % de 7'574 fr. 40), ainsi qu'un montant correspondant à 8,3 % du salaire déterminant à titre de 13ème salaire (art. 50 al. 2 CN 2019-2022 et annexe 8 à la convention), soit 695 fr. 30 ([7'574 fr. 40 + 802 fr. 90] x 8,3 %).</w:t>
      </w:r>
    </w:p>
    <w:p>
      <w:r>
        <w:t>- 17/19 -</w:t>
      </w:r>
    </w:p>
    <w:p>
      <w:r>
        <w:t>C/2149/2020-1 Le total dû à l'employé est ainsi de 9'072 fr. 60 bruts plus intérêts moratoires à 5 % dès le 1er octobre 2019 (date non contestée), sous déduction de la somme nette de 500 fr. Le chiffre 3 du dispositif du jugement attaqué sera modifié en conséquence.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1er al. 2 de la Convention complémentaire "Genève", en vigueur, comme l'extension, depuis le 1er juin 2017). Le total dû à l'employé est donc de 650 fr. (25 fr. x 26 jours, le nombre de jours déterminants n'étant pas contesté, comme l'a retenu le Tribunal), auquel il sied d'ajouter la somme nette non contestée de 100 fr. due à titre de remboursement des frais d'essence. Le chiffre 5 du dispositif du jugement attaqué sera modifié en conséquence. 5. La valeur litigieuse étant inférieure à 75'000 fr., respectivement à 50'000 fr., la procédure est gratuite tant pour la procédure de première que de seconde instance (art. 69 et 71 RTFMC). Aucun dépens n'est alloué s'agissant d'un litige de droit du travail (art. 22 al. 2 LaCC). * * * * *</w:t>
      </w:r>
    </w:p>
    <w:p>
      <w:r>
        <w:t>- 18/19 -</w:t>
      </w:r>
    </w:p>
    <w:p>
      <w:r>
        <w:t>C/2149/2020-1</w:t>
      </w:r>
    </w:p>
    <w:p>
      <w:r>
        <w:t>PAR CES MOTIFS, La Chambre des prud'hommes, groupe 1 :</w:t>
      </w:r>
    </w:p>
    <w:p>
      <w:r>
        <w:t>A la forme : Déclare recevable l'appel formé le 13 septembre 2021 par A______ contre les chiffres 3 et 5 du dispositif du jugement JTPH/295/2021 rendu le 4 août 2021 par le Tribunal des prud'hommes dans la cause C/2149/2020-1. Au fond : Annule les chiffre 3 et 5 du dispositif du jugement attaqué et, statuant à nouveau sur ces points : Condamne C______ GMBH à verser à A______ la somme brute de 9'072 fr. 60 plus intérêts moratoires à 5 % dès le 1er octobre 2019, sous déduction de la somme nette de 500 fr. Condamne C______ GMBH à verser à A______ la somme nette de 750 fr. plus intérêts moratoires à 5 % dès le 1er octobre 2019. Confirme le jugement attaqué pour le surplus. Déboute les parties de toutes autres conclusions. Sur les frais : Dit que la procédure est gratuite. Dit qu'il n'est pas alloué de dépens d'appel. Siégeant : Monsieur Ivo BUETTI, président; Monsieur Christian PITTET, juge employeur; Monsieur Yves DUPRE, juge salarié; Madame Chloé RAMAT, greffière.</w:t>
      </w:r>
    </w:p>
    <w:p>
      <w:r>
        <w:t>- 19/19 -</w:t>
      </w:r>
    </w:p>
    <w:p>
      <w:r>
        <w:t>C/2149/2020-1</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