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CAPH/58/2022 vom 27. April 2022</w:t>
      </w:r>
    </w:p>
    <w:p>
      <w:r>
        <w:t>GE Cour de justice, 2022-04-27, FR</w:t>
      </w:r>
    </w:p>
    <w:p>
      <w:r>
        <w:rPr>
          <w:b/>
        </w:rPr>
        <w:t xml:space="preserve">Quelle: </w:t>
      </w:r>
      <w:r>
        <w:t>https://mcp.opencaselaw.ch/entscheid/ge_gerichte_CAPH_58_2022</w:t>
      </w:r>
    </w:p>
    <w:p>
      <w:r>
        <w:t>FR: GE_GERICHTE CAPH/58/2022 du 27 avril 2022</w:t>
      </w:r>
    </w:p>
    <w:p>
      <w:r>
        <w:t>IT: GE_GERICHTE CAPH/58/2022 del 27 aprile 2022</w:t>
      </w:r>
    </w:p>
    <w:p>
      <w:pPr>
        <w:pStyle w:val="Heading2"/>
      </w:pPr>
      <w:r>
        <w:t>Erwägungen</w:t>
      </w:r>
    </w:p>
    <w:p>
      <w:r>
        <w:rPr>
          <w:b/>
        </w:rPr>
        <w:t>E. 1.1</w:t>
      </w:r>
    </w:p>
    <w:p>
      <w:r>
        <w:t>Interjeté contre une décision finale de première instance (art. 319 let. a CPC), auprès de l'autorité compétente (art. 124 let. a LOJ), dans une affaire patrimoniale dont la valeur litigieuse est inférieure à 10'000 fr. (art. 91 al. 1, 92 al. 1, 308 al. 2 et 319 let. a CPC), dans le délai utile de trente jours et selon la forme prescrite par la loi (art. 130 al. 1, 142 al. 1, 145 al. 1 let. b, 321 al. 1 CPC), le recours est recevable.</w:t>
      </w:r>
    </w:p>
    <w:p>
      <w:r>
        <w:rPr>
          <w:b/>
        </w:rPr>
        <w:t>E. 1.2</w:t>
      </w:r>
    </w:p>
    <w:p>
      <w:r>
        <w:t>Le recours est recevable pour violation du droit et constatation manifestement inexacte des faits (art. 320 CPC) dans la limite des griefs qui sont formulés (ATF 142 III 413 consid. 2.2.4; arrêts du Tribunal fédéral 4A_290/2014 du 1er septembre 2014 consid. 5; 5A_89/2014 du 15 avril 2014 consid. 5.3.2) et suffisamment motivés (ATF 141 III 569 consid. 2.3.3).</w:t>
      </w:r>
    </w:p>
    <w:p>
      <w:r>
        <w:rPr>
          <w:b/>
        </w:rPr>
        <w:t>E. 1.3</w:t>
      </w:r>
    </w:p>
    <w:p>
      <w:r>
        <w:t>La valeur litigieuse en première instance étant inférieure à 30'000 fr., la procédure simplifiée s'applique et le procès est régi par la maxime inquisitoire sociale (art. 55, 243 et art. 247 al. 2 let. b ch. 2 CPC; pour plus de détails, cf. ci- dessous consid. 4.1.6).</w:t>
      </w:r>
    </w:p>
    <w:p>
      <w:r>
        <w:rPr>
          <w:b/>
        </w:rPr>
        <w:t>E. 2</w:t>
      </w:r>
    </w:p>
    <w:p>
      <w:r>
        <w:t>Les allégations de faits et les preuves nouvelles sont irrecevables dans le cadre d'un recours (art. 326 al. 1 CPC) Ainsi, les pièces et allégations nouvelles du recourant ne sont pas recevables.</w:t>
      </w:r>
    </w:p>
    <w:p>
      <w:r>
        <w:t>- 11/19 -</w:t>
      </w:r>
    </w:p>
    <w:p>
      <w:r>
        <w:t>C/2148/2020-1</w:t>
      </w:r>
    </w:p>
    <w:p>
      <w:r>
        <w:rPr>
          <w:b/>
        </w:rPr>
        <w:t>E. 3</w:t>
      </w:r>
    </w:p>
    <w:p>
      <w:r>
        <w:t>L'intimée n'a contesté ni les allégations contenues dans la demande du recourant du 12 août 2020 en relation avec la résiliation du contrat, ni les déclarations faites par le recourant à ce sujet lors de l'audience du Tribunal du 23 mars 2021. Il y a donc lieu de retenir comme établi que le contrat de travail a été résilié avec effet immédiat par l'employé. Le recourant fait grief au Tribunal d'avoir considéré qu'il n'avait pas de motifs suffisants pour ce faire.</w:t>
      </w:r>
    </w:p>
    <w:p>
      <w:r>
        <w:rPr>
          <w:b/>
        </w:rPr>
        <w:t>E. 3.1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4A_604/2019 du 30 avril 2020 consid. 3).</w:t>
      </w:r>
    </w:p>
    <w:p>
      <w:r>
        <w:rPr>
          <w:b/>
        </w:rPr>
        <w:t>E. 3.1.1</w:t>
      </w:r>
    </w:p>
    <w:p>
      <w:r>
        <w:t>Lorsque la loi ne subordonne pas la conclusion du contrat à l'observation d'une forme particulière (art. 11 al. 1 CO) - ce qui est le cas du contrat de travail (art. 320 al. 1 CO) -, une telle exigence peut néanmoins résulter de la convention des parties (cf. art. 16 al. 1 CO). Convenir d'une forme spéciale selon cette norme ne requiert aucune forme particulière et l'accord peut résulter d'actes concluants (ATF 139 III 160 consid. 2.6 les références) ou d'une convention collective de travail (cf. art. 356 al. 1 CO). Toutefois, en ce qui concerne la conclusion du contrat de travail, l'exigence de forme convenue par les parties présente un intérêt très limité. En effet, aux conditions prévues par l'art. 320 al. 2 CO, le contrat est tacitement conclu,</w:t>
      </w:r>
    </w:p>
    <w:p>
      <w:r>
        <w:t>- 12/19 -</w:t>
      </w:r>
    </w:p>
    <w:p>
      <w:r>
        <w:t>C/2148/2020-1 nonobstant le non-respect de la forme convenue, lorsque le travailleur a effectivement débuté son activité avec le consentement, même tacite, d'un organe ou d'un représentant autorisé de l'employeur (WYLER, Commentaire du contrat de travail, 2013, N. 12 ad art. 320 CO).</w:t>
      </w:r>
    </w:p>
    <w:p>
      <w:r>
        <w:rPr>
          <w:b/>
        </w:rPr>
        <w:t>E. 3.1.2</w:t>
      </w:r>
    </w:p>
    <w:p>
      <w:r>
        <w:t>La jurisprudence considère que si, malgré une mise en demeure claire, l'employeur refuse de payer le salaire dû, le travailleur peut résilier le contrat avec effet immédiat (arrêt du Tribunal fédéral 4C.203/2000 du 2 avril 2001 consid 4c). Selon la doctrine, cette mise en demeure est le pendant de l'avertissement préalable imposé à l'employeur lorsque le manquement imputable au travailleur n'est pas assez grave pour justifier un licenciement immédiat sans avertissement (arrêt du Tribunal fédéral 4C.2/2003 du 25 mars 2003 consid. 5)</w:t>
      </w:r>
    </w:p>
    <w:p>
      <w:r>
        <w:rPr>
          <w:b/>
        </w:rPr>
        <w:t>E. 3.1.3</w:t>
      </w:r>
    </w:p>
    <w:p>
      <w:r>
        <w:t>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III 303 consid. 2.1.1; 133 III 657 consid. 3.2).</w:t>
      </w:r>
    </w:p>
    <w:p>
      <w:r>
        <w:rPr>
          <w:b/>
        </w:rPr>
        <w:t>E. 3.2</w:t>
      </w:r>
    </w:p>
    <w:p>
      <w:r>
        <w:t>En l'espèce, les parties n'ont pas convenu de donner une forme spéciale à leur contrat et l'exigence de la forme écrite n'est pas imposée par la convention collective applicable (cf. ci-dessous, consid. 4.2). Par ailleurs, le recourant ne soutient pas qu'il aurait mis en demeure clairement l'intimée de lui payer le salaire, sous menace de résiliation. De plus, comme l'a relevé à juste titre le Tribunal, le salaire d'août 2019 n'était pas encore exigible au moment de la résiliation. Enfin, le recourant avait reçu le 12 août 2019 la somme de 4'000 fr., qui doit être considérée comme du salaire (cf. ci-dessous, consid. 4.2.2). Les motifs de congé recevables invoqués par le recourant ne suffisent ainsi pas à justifier une résiliation immédiate. C'est donc à bon droit que le Tribunal a refusé l'application de l'art. 337b al. 1 CO. Le jugement attaqué sera confirmé sur ce point.</w:t>
      </w:r>
    </w:p>
    <w:p>
      <w:r>
        <w:rPr>
          <w:b/>
        </w:rPr>
        <w:t>E. 4</w:t>
      </w:r>
    </w:p>
    <w:p>
      <w:r>
        <w:t>Le recourant fait grief au Tribunal d'avoir déterminé son salaire sur la base de la Convention collective romande du second oeuvre et d'avoir écarté l'application de la Convention nationale du secteur principal de la construction en Suisse et de son annexe 18, soit la Convention complémentaire "Genève". Il réclame à l'intimée un salaire horaire de 30 fr., subsidiairement de 26 fr. 30.</w:t>
      </w:r>
    </w:p>
    <w:p>
      <w:r>
        <w:t>- 13/19 -</w:t>
      </w:r>
    </w:p>
    <w:p>
      <w:r>
        <w:t>C/2148/2020-1</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1er février 2013 jusqu’au 31 décembre 2015. La CCT a ensuite été renégociée entre les différents partenaires et une convention modifiée, la CN 2016-2018, est entrée en vigueur le 1er janvier 2016. Le Conseil fédéral a déclaré la CN 2016-2018 de force obligatoire à compter du 1er juillet 2016 jusqu’au 31 décembre 2018, par arrêté du 14 juin 2016, puis du 1er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w:t>
      </w:r>
    </w:p>
    <w:p>
      <w:r>
        <w:t>- 14/19 -</w:t>
      </w:r>
    </w:p>
    <w:p>
      <w:r>
        <w:t>C/2148/2020-1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t>- 15/19 -</w:t>
      </w:r>
    </w:p>
    <w:p>
      <w:r>
        <w:t>C/2148/2020-1</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H______ et G______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œuvre sur les chantiers de l'intimée.</w:t>
      </w:r>
    </w:p>
    <w:p>
      <w:r>
        <w:t>- 16/19 -</w:t>
      </w:r>
    </w:p>
    <w:p>
      <w:r>
        <w:t>C/2148/2020-1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D______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et notamment celle exercée par le recourant (plâtrerie et peinture sur des chantiers situés à Genève) pouvait ressortir du champ d'application de la CCT-SOR. Il sera donc fait application de la CN 2019-2022 et de ses annexes.</w:t>
      </w:r>
    </w:p>
    <w:p>
      <w:r>
        <w:rPr>
          <w:b/>
        </w:rPr>
        <w:t>E. 4.2.1</w:t>
      </w:r>
    </w:p>
    <w:p>
      <w:r>
        <w:t>Le recourant n'établit pas que les parties auraient convenu d'un salaire horaire brut de 30 fr.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à 4'497 fr. 30 bruts (171 heures x 26 fr. 30). A ce montant, il faut ajouter une indemnité de 10,6 % pour les vacances (art. 34 al. 1 et 50 al. 3 CN 2019-2022), soit 476 fr. 70 bruts (10,6 % de 4'497 fr. 30), ainsi qu'un montant correspondant à 8,3 % du salaire déterminant à titre de 13ème salaire (art. 50 al. 2 CN 2019-2022 et annexe 8 à la convention), soit 412 fr. 85 ([4'497 fr. 30 + 476 fr. 70] x 8,3 %). Le total dû à l'employé est ainsi de 5'386 fr. 85 bruts plus intérêts moratoires à</w:t>
      </w:r>
    </w:p>
    <w:p>
      <w:r>
        <w:rPr>
          <w:b/>
        </w:rPr>
        <w:t>E. 4.2.2</w:t>
      </w:r>
    </w:p>
    <w:p>
      <w:r>
        <w:t>Comme le Tribunal l'a retenu à juste titre, le recourant, qui reconnaît désormais avoir reçu la somme de 4'000 fr. le 12 août 2019, n'a pas apporté la preuve, qui lui incombait, de la restitution de ce montant. De plus, en première instance, le recourant faisait état d'une somme qu'il avait reçue pour acheter de la peinture avant de commencer à travailler, donc avant le 1er août 2019. Il ne peut donc s'agir du montant de 4'000 fr., lequel lui a été versé alors qu'il travaillait déjà depuis une dizaine de jours. Ce montant sera donc porté en déduction du total précité.</w:t>
      </w:r>
    </w:p>
    <w:p>
      <w:r>
        <w:t>- 17/19 -</w:t>
      </w:r>
    </w:p>
    <w:p>
      <w:r>
        <w:t>C/2148/2020-1</w:t>
      </w:r>
    </w:p>
    <w:p>
      <w:r>
        <w:rPr>
          <w:b/>
        </w:rPr>
        <w:t>E. 4.2.3</w:t>
      </w:r>
    </w:p>
    <w:p>
      <w:r>
        <w:t>Le chiffre 3 du dispositif du jugement attaqué sera modifié dans le sens exposé ci-dessus.</w:t>
      </w:r>
    </w:p>
    <w:p>
      <w:r>
        <w:rPr>
          <w:b/>
        </w:rPr>
        <w:t>E. 4.2.4</w:t>
      </w:r>
    </w:p>
    <w:p>
      <w:r>
        <w:t>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1er al. 2 de la Convention complémentaire "Genève", en vigueur, comme l'extension, depuis le 1er juin 2017). Le total dû à l'employé est donc de 475 fr. (25 fr. x 19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w:t>
      </w:r>
    </w:p>
    <w:p>
      <w:r>
        <w:t>- 18/19 -</w:t>
      </w:r>
    </w:p>
    <w:p>
      <w:r>
        <w:t>C/2148/2020-1</w:t>
      </w:r>
    </w:p>
    <w:p>
      <w:r>
        <w:t>PAR CES MOTIFS, La Chambre des prud'hommes, groupe 1 :</w:t>
      </w:r>
    </w:p>
    <w:p>
      <w:r>
        <w:t>A la forme : Déclare recevable le recours formé le 13 septembre 2021 par A______ contre les chiffres 3 et 5 du dispositif du jugement JTPH/294/2021 rendu le 4 août 2021 par le Tribunal des prud'hommes dans la cause C/2148/2020-1. Au fond : Annule les chiffre 3 et 5 du dispositif du jugement attaqué et, statuant à nouveau sur ces points : Condamne C______ GMBH à verser à A______ la somme brute de 5'386 fr. 85 plus intérêts moratoires à 5 % dès le 1er septembre 2019, sous déduction de la somme nette de 4'000 fr. versée le 12 août 2019. Condamne C______ GMBH à verser à A______ la somme nette de 475 fr. plus intérêts moratoires à 5 % dès le 1er septembre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w:t>
      </w:r>
    </w:p>
    <w:p>
      <w:r>
        <w:t>- 19/19 -</w:t>
      </w:r>
    </w:p>
    <w:p>
      <w:r>
        <w:t>C/2148/2020-1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