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CAPH/56/2022 vom 27. April 2022</w:t>
      </w:r>
    </w:p>
    <w:p>
      <w:r>
        <w:t>GE Cour de justice, 2022-04-27, FR</w:t>
      </w:r>
    </w:p>
    <w:p>
      <w:r>
        <w:rPr>
          <w:b/>
        </w:rPr>
        <w:t xml:space="preserve">Quelle: </w:t>
      </w:r>
      <w:r>
        <w:t>https://mcp.opencaselaw.ch/entscheid/ge_gerichte_CAPH_56_2022</w:t>
      </w:r>
    </w:p>
    <w:p>
      <w:r>
        <w:t>FR: GE_GERICHTE CAPH/56/2022 du 27 avril 2022</w:t>
      </w:r>
    </w:p>
    <w:p>
      <w:r>
        <w:t>IT: GE_GERICHTE CAPH/56/2022 del 27 aprile 2022</w:t>
      </w:r>
    </w:p>
    <w:p>
      <w:pPr>
        <w:pStyle w:val="Heading2"/>
      </w:pPr>
      <w:r>
        <w:t>Erwägungen</w:t>
      </w:r>
    </w:p>
    <w:p>
      <w:r>
        <w:rPr>
          <w:b/>
        </w:rPr>
        <w:t>E. 1.1</w:t>
      </w:r>
    </w:p>
    <w:p>
      <w:r>
        <w:t>Interjeté contre une décision finale de première instance (art. 319 let. a CPC), auprès de l'autorité compétente (art. 124 let. a LOJ), dans une affaire patrimoniale dont la valeur litigieuse est inférieure à 10'000 fr. (art. 91 al. 1, 92 al. 1, 308 al. 2 et 319 let. a CPC), dans le délai utile de trente jours et selon la forme prescrite par la loi (art. 130 al. 1, 142 al. 1, 145 al. 1 let. b, 321 al. 1 CPC), le recours est recevable.</w:t>
      </w:r>
    </w:p>
    <w:p>
      <w:r>
        <w:rPr>
          <w:b/>
        </w:rPr>
        <w:t>E. 1.2</w:t>
      </w:r>
    </w:p>
    <w:p>
      <w:r>
        <w:t>Le recours est recevable pour violation du droit et constatation manifestement inexacte des faits (art. 320 CPC) dans la limite des griefs qui sont formulés (ATF 142 III 413 consid. 2.2.4; arrêts du Tribunal fédéral 4A_290/2014 du 1er septembre 2014 consid. 5; 5A_89/2014 du 15 avril 2014 consid. 5.3.2) et suffisamment motivés (ATF 141 III 569 consid. 2.3.3).</w:t>
      </w:r>
    </w:p>
    <w:p>
      <w:r>
        <w:rPr>
          <w:b/>
        </w:rPr>
        <w:t>E. 1.3</w:t>
      </w:r>
    </w:p>
    <w:p>
      <w:r>
        <w:t>La valeur litigieuse en première instance étant inférieure à 30'000 fr., la procédure simplifiée s'applique et le procès est régi par la maxime inquisitoire sociale (art. 55, 243 et art. 247 al. 2 let. b ch. 2 CPC; pour plus de détails, cf. ci- dessous consid. 4.1.6).</w:t>
      </w:r>
    </w:p>
    <w:p>
      <w:r>
        <w:rPr>
          <w:b/>
        </w:rPr>
        <w:t>E. 2</w:t>
      </w:r>
    </w:p>
    <w:p>
      <w:r>
        <w:t>Les allégations de faits et les preuves nouvelles sont irrecevables dans le cadre d'un recours (art. 326 al. 1 CPC) Ainsi, les pièces et allégations nouvelles du recourant ne sont pas recevables. Elles ne sont de toute façon pas déterminantes pour la solution du litige (cf. consid. 4.2 ci-dessous).</w:t>
      </w:r>
    </w:p>
    <w:p>
      <w:r>
        <w:rPr>
          <w:b/>
        </w:rPr>
        <w:t>E. 3</w:t>
      </w:r>
    </w:p>
    <w:p>
      <w:r>
        <w:t>Le recourant fait grief au Tribunal d'avoir considéré que les parties étaient liées par un contrat de durée déterminée.</w:t>
      </w:r>
    </w:p>
    <w:p>
      <w:r>
        <w:rPr>
          <w:b/>
        </w:rPr>
        <w:t>E. 3.1</w:t>
      </w:r>
    </w:p>
    <w:p>
      <w:r>
        <w:t>Selon l'art. 319 al. 1 CO, par le contrat de travail le travailleur s'engage pour une durée déterminée ou indéterminée à travailler au service de l'employeur et celui-ci à payer un salaire fixé d'après le temps de travail fourni. Selon l'art. 334 al. 1 CO, le contrat de durée déterminée se définit comme celui qui prend fin sans qu'il soit nécessaire de donner congé. La durée du contrat doit être fixée par la loi, la convention des parties ou la nature de l'affaire. Ainsi, dans</w:t>
      </w:r>
    </w:p>
    <w:p>
      <w:r>
        <w:t>- 11/18 -</w:t>
      </w:r>
    </w:p>
    <w:p>
      <w:r>
        <w:t>C/2145/2020-1 tous les cas où l'on ne peut pas constater la fixation d'une échéance, le contrat est considéré comme de durée indéterminée et un congé est alors nécessaire pour y mettre fin; c'est pourquoi la doctrine et la jurisprudence admettent qu'il faut présumer l'existence d'un contrat de durée indéterminée et qu'il incombe à la partie qui soutient le contraire d'apporter la preuve qu'une échéance a été fixée (arrêts du Tribunal fédéral 8C_427/2018 du 30 avril 2019 consid. 5.1.2; 4A_270/2014 du 18 septembre 2014 consid. 4.4; 4A_531/2008 du 4 février 2009 consid. 2.1). Les parties doivent être en mesure de connaître de façon suffisamment précise la fin des rapports de travail déjà au moment de la conclusion du contrat, ce qui suppose qu'elles puissent au moins estimer l'ordre de grandeur du délai. La durée peut être limitée par référence au but du travail convenu, par exemple le temps d'un chantier (WYLER/HEINZER, Droit du travail, 4ème éd. 2019, p. 609-610) ou jusqu'à la fin des travaux de construction (CARRON, Commentaire du contrat de travail, 2013, N. 9 ad art. 334 CO).. En cas de litige sur l'interprétation d'un contrat, le juge doit tout d'abord s'efforcer de déterminer la commune et réelle intention des parties, ce qui relève de l'établissement des faits; s'il n'y parvient pas, il doit interpréter les déclarations et les comportements selon la théorie de la confiance. Il doit rechercher comment une déclaration ou une attitude pouvait être comprise de bonne foi en fonction de l'ensemble des circonstances; toutefois, pour mener cette analyse, le juge doit tenir compte des déclarations des parties et des circonstances, dont l'établissement relève du fait (ATF 133 III 675 consid. 3.3; 132 III 626 consid. 3.1).</w:t>
      </w:r>
    </w:p>
    <w:p>
      <w:r>
        <w:rPr>
          <w:b/>
        </w:rPr>
        <w:t>E. 3.2</w:t>
      </w:r>
    </w:p>
    <w:p>
      <w:r>
        <w:t>En l'espèce, les six employés ont allégué qu'ils avaient été engagés par l'intimée pour une durée indéterminée. Cependant, les éléments recueillis par le Tribunal établissent que tel n'était pas le cas. Interrogé par le Tribunal, I______ a déclaré qu'il n'avait pas été licencié et qu'il avait travaillé du 17 juillet au 6 septembre 2019, ce qui correspondait à la période des vacances scolaires. Selon L______, F______ avait indiqué "depuis le début" aux employés que les contrats prendraient fin à la fin des chantiers, même s'il n'avait pas donné de date exacte. L______ a déclaré, sans évoquer un licenciement, que son contrat avait pris fin le 7 septembre 2019. Le contrat du témoin M______ a pris fin au terme des travaux et celui du témoin N______, qui n'a évoqué aucun licenciement, a duré du mois de juillet au 7 septembre 2019. Ces éléments permettent de retenir que les parties étaient en mesure de connaître de façon suffisamment précise la fin des rapports de travail déjà au moment de la conclusion du contrat. C'est ainsi à juste titre que le Tribunal a retenu qu'elles étaient liées par un contrat de durée déterminée et qu'il a rejeté les prétentions du recourant visant la période postérieure à son dernier jour de travail.</w:t>
      </w:r>
    </w:p>
    <w:p>
      <w:r>
        <w:t>- 12/18 -</w:t>
      </w:r>
    </w:p>
    <w:p>
      <w:r>
        <w:t>C/2145/2020-1</w:t>
      </w:r>
    </w:p>
    <w:p>
      <w:r>
        <w:rPr>
          <w:b/>
        </w:rPr>
        <w:t>E. 4</w:t>
      </w:r>
    </w:p>
    <w:p>
      <w:r>
        <w:t>Le recourant fait grief au Tribunal d'avoir déterminé son salaire sur la base de la Convention collective romande du second oeuvre et d'avoir écarté l'application de la Convention nationale du secteur principal de la construction en Suisse et de son annexe 18, soit la Convention complémentaire "Genève".</w:t>
      </w:r>
    </w:p>
    <w:p>
      <w:r>
        <w:rPr>
          <w:b/>
        </w:rPr>
        <w:t>E. 4.1</w:t>
      </w:r>
    </w:p>
    <w:p>
      <w:r>
        <w:t>L’employeur paie au travailleur le salaire convenu, usuel ou fixé par un contrat-type de travail ou par une convention collective (art. 322 al. 1 CO). En droit suisse, la rémunération du travailleur obéit au principe de la liberté contractuelle : le salaire convenu fait foi. Il n’en va toutefois pas ainsi quand les parties sont soumises, de quelque manière que ce soit, à une convention collective de travail prévoyant un salaire supérieur à celui qu’elles ont arrêté ; dans ce cas, le salaire supérieur remplace le salaire convenu (art. 322 al. 1 et 357 al. 2 CO). Conformément à l’art. 357 al. 2 CO, les dispositions d’une convention collective relatives aux salaires sont impératives et il ne peut y être dérogé. Toutefois, selon la dernière phrase de l’art. 357 al. 2 CO, les dérogations stipulées en faveur des travailleurs sont valables.</w:t>
      </w:r>
    </w:p>
    <w:p>
      <w:r>
        <w:rPr>
          <w:b/>
        </w:rPr>
        <w:t>E. 4.1.1</w:t>
      </w:r>
    </w:p>
    <w:p>
      <w:r>
        <w:t>La Convention nationale du secteur principal de la construction en Suisse, CN 2012-2015, conclue le 28 mars 2012, a fait l’objet d’un arrêté d’extension du Conseil fédéral du 15 janvier 2013 par lequel la CCT a été déclarée de force obligatoire depuis le 1er février 2013 jusqu’au 31 décembre 2015. La CCT a ensuite été renégociée entre les différents partenaires et une convention modifiée, la CN 2016-2018, est entrée en vigueur le 1er janvier 2016. Le Conseil fédéral a déclaré la CN 2016-2018 de force obligatoire à compter du 1er juillet 2016 jusqu’au 31 décembre 2018, par arrêté du 14 juin 2016, puis du 1er mars 2019 jusqu’au 31 décembre 2022 par arrêté du 6 février 2019. En vertu de son art. 2 al. 1, la CN 2019-2022 s’applique aux entreprises qui emploient des travailleurs lorsqu’ils exercent leur principale activité, c’est-à-dire l’activité prépondérante, dans le secteur principal de la construction. On est en présence d’une activité caractéristique du secteur principal de la construction si l'entreprise exerce majoritairement, respectivement de manière prépondérante, dans les domaines du terrassement, de la démolition (incluant la déconstruction et l’assainissement d’ouvrages de construction amiantés) de l’entreposage et du recyclage de matériaux de terrassement, de démolition et d’autres matériaux de construction de fabrication non industrielle (art. 2 al. 2 let. b CN 2019-2022).</w:t>
      </w:r>
    </w:p>
    <w:p>
      <w:r>
        <w:rPr>
          <w:b/>
        </w:rPr>
        <w:t>E. 4.1.2</w:t>
      </w:r>
    </w:p>
    <w:p>
      <w:r>
        <w:t>La Convention collective romande du second oeuvre (ci-après CCT-SOR) a été conclue le 19 novembre 2010 et est entrée en vigueur le 1er janvier 2011 avec effet au 31 décembre 2016. Son champ d’application, y compris les modifications survenues dans ce texte, a été étendu par arrêté du Conseil fédéral du 7 mars 2013, avec effet du 1er avril 2012 jusqu’au 31 décembre 2016, puis par divers arrêtés</w:t>
      </w:r>
    </w:p>
    <w:p>
      <w:r>
        <w:t>- 13/18 -</w:t>
      </w:r>
    </w:p>
    <w:p>
      <w:r>
        <w:t>C/2145/2020-1 successifs, dont le dernier du 29 janvier 2019 a prolongé ses effets du 1er mars 2019 au 31 décembre 2023. En vertu de ses art. 1 et 2, la CCT-SOR s’applique à Genève à tous les employeurs, à toutes les entreprises et à tous les secteurs d’entreprises qui exécutent ou font exécuter, à titre principal ou accessoire, des travaux de menuiserie, ébénisterie, charpenterie, plâtrerie, peinture, revêtements de sol et pose de parquets, carrelage, ainsi que d’autres travaux comme l’étanchéité, couverture, toiture, façade, vitrerie, miroiterie, encadrement, montage et réparation de stores, revêtements d’intérieur, marbrerie, décoration d’intérieur et courtepointière.</w:t>
      </w:r>
    </w:p>
    <w:p>
      <w:r>
        <w:rPr>
          <w:b/>
        </w:rPr>
        <w:t>E. 4.1.3</w:t>
      </w:r>
    </w:p>
    <w:p>
      <w:r>
        <w:t>L'art. 2bis CN 2019-2022 détermine le champ d'application des entreprises mixtes, c'est-à-dire les entreprises qui ne sont pas actives dans un ou plusieurs domaines régis exclusivement par l'une des deux CCT susmentionnées. A cette fin, cette disposition opère une distinction entre les entreprises mixtes authentiques et les entreprises mixtes non authentiques. Les premières comprennent deux ou plusieurs secteurs autonomes, chacun de ceux-ci étant soumis à la CCT de la branche correspondante. Les secondes, qui sont dépourvues de secteurs autonomes, obéissent, en revanche, au principe de l'unité tarifaire; il s'agit de "déterminer au cas par cas quelle activité effective confère la caractéristique à l'entreprise dans sa globalité" (art. 2bis al. 2 CN 2019-2022) à l'aide de différents critères énumérés à l'art. 2bis al. 3 CN 2019-2022 dans un certain ordre de priorité (principalement, les prestations en heures de travail pour chaque secteur; subsidiairement, le pourcentage de postes; plus subsidiairement, le chiffre d'affaires et le bénéfice, l'inscription au registre du commerce et l'affiliation à l'association) (arrêt du Tribunal fédéral 4A_67/2013 du 1er juillet 2013 consid. 3.1).</w:t>
      </w:r>
    </w:p>
    <w:p>
      <w:r>
        <w:rPr>
          <w:b/>
        </w:rPr>
        <w:t>E. 4.1.4</w:t>
      </w:r>
    </w:p>
    <w:p>
      <w:r>
        <w:t>Du point de vue procédural, c'est au travailleur qui entend déduire des prétentions de la CCT qu'il appartient d'établir que l'employeur entre dans le champ d'application de la convention, respectivement de supporter les conséquences de l'absence de preuve à ce sujet (WYLER/HEINZER, op. cit., p. 1073 et la référence citée).</w:t>
      </w:r>
    </w:p>
    <w:p>
      <w:r>
        <w:rPr>
          <w:b/>
        </w:rPr>
        <w:t>E. 4.1.5</w:t>
      </w:r>
    </w:p>
    <w:p>
      <w:r>
        <w:t>L’interrogatoire et la déposition d’une partie sont des moyens de preuve objectivement adéquats prévus par la loi (art. 168 al. 1 let. f CPC). Le juge forge sa conviction après une libre appréciation des preuves (art. 157 CPC). Il en résulte l’interdiction de règles de preuves fixes. Il n’est dès lors pas admissible de dénier d’emblée toute valeur probante à un moyen de preuve donné, prévu par la loi (cf. ATF 84 IV 171 c. 2). Il en va ainsi aussi pour l’interrogatoire et la déposition des parties au sens de l’art. 168 al. 1 let. f CPC. Certes, dans le Message (p. 6934 s.) il est mentionné qu’en raison de la «partialité de leur auteur», la force probante des dépositions est «faible» et qu’elles «doivent être corroborées par un autre moyen</w:t>
      </w:r>
    </w:p>
    <w:p>
      <w:r>
        <w:t>- 14/18 -</w:t>
      </w:r>
    </w:p>
    <w:p>
      <w:r>
        <w:t>C/2145/2020-1 de preuve». Le juge ne peut néanmoins parvenir à la conclusion que la force probante de la déclaration faite par une partie «en sa propre faveur», prise isolément, doit in concreto être qualifiée de faible, que lorsqu’il a administré cette preuve (ATF 143 III 297 consid. 9.3.2).</w:t>
      </w:r>
    </w:p>
    <w:p>
      <w:r>
        <w:rPr>
          <w:b/>
        </w:rPr>
        <w:t>E. 4.1.6</w:t>
      </w:r>
    </w:p>
    <w:p>
      <w:r>
        <w:t>Avant d’apprécier les preuves et d’établir ainsi l’état de fait litigieux, le tribunal a besoin d’allégués des parties à cet égard. Si une partie est représentée par un avocat, il en va en principe ainsi même lorsque la maxime inquisitoire sociale est applicable (arrêt du Tribunal fédéral 4A_703/2016 du 24 mai 2017 consid. 7 non publié in ATF 143 III 344; 4A_702/2016 du 23 mars 2017 consid. 3.2). En application de la maxime inquisitoire sociale,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(ATF 141 III 569 consid. 2.3.2; 125 III 213 consid. 4a; arrêts du Tribunal fédéral 4A_457/2021 du 18 février 2022 consid.1.5). Conformément au principe de la simultanéité des moyens d'attaque et de défense (maxime éventuelle ou maxime de concentration), qui vaut aussi en procédure simplifiée, même si elle est soumise à la maxime inquisitoire sociale (art. 243 al. 2 let. c, art. 247 al. 2 let. a et art. 229 al. 3 CPC), le défendeur doit invoquer ses moyens de défense en temps utile, soit jusqu'aux délibérations de première instance (arrêt du Tribunal fédéral 4A_376/2021 du 7 janvier 2022 consid. 4.2.2).</w:t>
      </w:r>
    </w:p>
    <w:p>
      <w:r>
        <w:rPr>
          <w:b/>
        </w:rPr>
        <w:t>E. 4.2</w:t>
      </w:r>
    </w:p>
    <w:p>
      <w:r>
        <w:t>En l’espèce, dans leurs demandes (motivées au sens de l'art. 245 al. 2 CPC), quatre employés ont allégué qu'ils avaient été engagés comme démolisseurs et un a allégué qu'il avait été engagé comme "peintre et démolisseur". L'intimée, qui n'a pas déposé de réponse recevable, en dépit de trois ordonnances du Tribunal, n'a pas contesté de manière concrète ces allégations. La contestation générique contenue dans son courrier du 22 mars 2021 au Tribunal n'était pas suffisante. De plus, les six employés ont invoqué l'application de la CN 2019-2022 et, en première instance, l'intimée n'a pas objecté que celle-ci n'était pas applicable. Interrogés par le Tribunal, I______ et H______ ont confirmé leur engagement comme démolisseurs, le premier précisant que six ou sept autres démolisseurs</w:t>
      </w:r>
    </w:p>
    <w:p>
      <w:r>
        <w:t>- 15/18 -</w:t>
      </w:r>
    </w:p>
    <w:p>
      <w:r>
        <w:t>C/2145/2020-1 travaillaient sur les chantiers et que son travail consistait "à casser et à nettoyer". Le témoin N______, qui n'est pas en litige avec l'intimée, a confirmé qu'il avait effectué des travaux de démolition pour le compte de celle-ci. Les photographies produites par L______ montrent des ouvriers qui exécutent des travaux de gros oeuvre sur les chantiers de l'intimée. L'organigramme figurant au dossier mentionne des travaux de démolition à effectuer sur trois étages dans le cadre du chantier "Q______". Par ailleurs, le but social de l'intimée comprend l'exécution de travaux de construction de tous types et les activités d'entreprise générale et ne mentionne pas des travaux relevant du second œuvre. En première instance, l'intimée n'a fourni aucun élément au sujet d'autres critères permettant de retenir que son activité relèverait principalement du champ d'application de la CCT-SOR, la seule déclaration de F______ - qui a qualifié les travaux en question de "travaux de démontage" sans autre explication et en contradiction avec l'organigramme susmentionné - n'étant pas suffisante. Au vu de ce qui précède, il y a lieu de retenir que l'intimée est une entreprise mixte non authentique, dont l'activité relevait de manière prépondérante de la CN 2019-2022, même si une partie de son activité (plâtrerie et peinture sur des chantiers situés à Genève) pouvait ressortir du champ d'application de la CCT- SOR. Il sera donc fait application de la CN 2019-2022 et de ses annexes.</w:t>
      </w:r>
    </w:p>
    <w:p>
      <w:r>
        <w:rPr>
          <w:b/>
        </w:rPr>
        <w:t>E. 4.2.1</w:t>
      </w:r>
    </w:p>
    <w:p>
      <w:r>
        <w:t>Le recourant reproche au Tribunal de s'être fondé uniquement sur la liste déposée par le témoin M______ et d'avoir ainsi retenu que l'intimée ne lui devait, pour sa période d'activité, que le salaire afférent à 27 heures de travail. En première instance, l'intimée n'a pas contesté les allégations du recourant selon lesquelles il avait effectué 27 heures en août 2019 et 19 heures en septembre 2019, soit au total 46 heures. L'intimée n'a en outre pas tenu un registre des durées quotidienne et hebdomadaire du travail fourni par les employés. La liste établie par le "responsable de la supervision des travaux" ne mentionne que le total des heures effectuées par le recourant durant la période du 29 juillet au 1er septembre 2019 (27 heures). Ledit responsable a confirmé que les employés avaient travaillé le mois précédent ("le premier mois"), ainsi qu'en septembre 2019 (pour le moins "lorsqu'ils [étaient] partis à Berne"). Dans ces conditions, il y a lieu de retenir le nombre d'heures allégué par le recourant. Il n'est pas contesté qu'en 2019, le salaire horaire d'un "ouvrier de la construction", soit un "travailleur de la construction sans connaissances professionnelles" (classe de salaire C) à Genève ("zone rouge") était de 26 fr. 30 bruts (art 41 al. 2 CN 2019-2022).</w:t>
      </w:r>
    </w:p>
    <w:p>
      <w:r>
        <w:t>- 16/18 -</w:t>
      </w:r>
    </w:p>
    <w:p>
      <w:r>
        <w:t>C/2145/2020-1 Le montant dû au recourant s'élève ainsi à 1'209 fr. 80 bruts (46 heures x 26 fr. 30). A ce montant, il faut ajouter une indemnité de 10,6 % pour les vacances (art. 34 al. 1 et 50 al. 3 CN 2019-2022), soit 128 fr. 25 bruts (10,6 % de 1'209 fr. 80), ainsi qu'un montant correspondant à 8,3 % du salaire déterminant à titre de 13ème salaire (art. 50 al. 2 CN 2019-2022 et annexe 8 à la convention), soit 111 fr. ([1'209 fr. 80 + 128 fr. 25] x 8,3 %). Le total dû à l'employé est ainsi de 1'449 fr. 05 bruts plus intérêts moratoires à 5 % dès le 1er octobre 2019 (date non contestée). Le chiffre 3 du dispositif du jugement attaqué sera modifié en conséquence. La Convention complémentaire "Genève" (annexe 18 à la Convention nationale) prévoit, en dérogation à l'art. 60 al. 2 CN 2019-2022, que l'indemnité forfaitaire journalière pour les frais de déplacement et le repas de midi s'élève à 25 fr. sur le territoire du canton de Genève (art. 1er al. 2 de la Convention complémentaire "Genève", en vigueur, comme l'extension, depuis le 1er juin 2017). Le total dû à l'employé est donc de 125 fr. (25 fr. x 5 jours, le nombre de jours déterminants n'étant pas contesté, comme l'a retenu le Tribunal). Le chiffre 5 du dispositif du jugement attaqué sera modifié en conséquence.</w:t>
      </w:r>
    </w:p>
    <w:p>
      <w:r>
        <w:rPr>
          <w:b/>
        </w:rPr>
        <w:t>E. 5</w:t>
      </w:r>
    </w:p>
    <w:p>
      <w:r>
        <w:t>La valeur litigieuse étant inférieure à 75'000 fr., respectivement à 50'000 fr., la procédure est gratuite tant pour la procédure de première que de seconde instance (art. 69 et 71 RTFMC). Aucun dépens n'est alloué s'agissant d'un litige de droit du travail (art. 22 al. 2 LaCC). * * * * *</w:t>
      </w:r>
    </w:p>
    <w:p>
      <w:r>
        <w:t>- 17/18 -</w:t>
      </w:r>
    </w:p>
    <w:p>
      <w:r>
        <w:t>C/2145/2020-1 PAR CES MOTIFS, La Chambre des prud'hommes, groupe 1 : A la forme : Déclare recevable le recours formé le 13 septembre 2021 par A______ contre les chiffres 3 et 5 du dispositif du jugement JTPH/292/2021 rendu le 4 août 2021 par le Tribunal des prud'hommes dans la cause C/2145/2020-1. Au fond : Annule les chiffre 3 et 5 du dispositif du jugement attaqué et, statuant à nouveau sur ces points : Condamne C______ GMBH à verser à A______ la somme brute de 1'449 fr. 05 plus intérêts moratoires à 5 % dès le 1er octobre 2019. Condamne C______ GMBH à verser à A______ la somme nette de 125 fr. plus intérêts moratoires à 5 % dès le 1er octobre 2019. Confirme le jugement attaqué pour le surplus. Déboute les parties de toutes autres conclusions. Sur les frais : Dit que la procédure est gratuite. Dit qu'il n'est pas alloué de dépens de recours. Siégeant : Monsieur Ivo BUETTI, président; Monsieur Christian PITTET, juge employeur; Monsieur Yves DUPRE, juge salarié; Madame Chloé RAMAT, greffière.</w:t>
      </w:r>
    </w:p>
    <w:p>
      <w:r>
        <w:t>Indication des voies de recours et valeur litigieuse :</w:t>
      </w:r>
    </w:p>
    <w:p>
      <w:r>
        <w:t>- 18/18 -</w:t>
      </w:r>
    </w:p>
    <w:p>
      <w:r>
        <w:t>C/2145/2020-1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