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CAPH/56/2021 vom 3. Mai 2019</w:t>
      </w:r>
    </w:p>
    <w:p>
      <w:r>
        <w:t>GE Cour de justice, 2019-05-03, FR</w:t>
      </w:r>
    </w:p>
    <w:p>
      <w:r>
        <w:rPr>
          <w:b/>
        </w:rPr>
        <w:t xml:space="preserve">Quelle: </w:t>
      </w:r>
      <w:r>
        <w:t>https://mcp.opencaselaw.ch/entscheid/ge_gerichte_CAPH_56_2021</w:t>
      </w:r>
    </w:p>
    <w:p>
      <w:r>
        <w:t>FR: GE_GERICHTE CAPH/56/2021 du 3 mai 2019</w:t>
      </w:r>
    </w:p>
    <w:p>
      <w:r>
        <w:t>IT: GE_GERICHTE CAPH/56/2021 del 3 maggio 2019</w:t>
      </w:r>
    </w:p>
    <w:p>
      <w:pPr>
        <w:pStyle w:val="Heading2"/>
      </w:pPr>
      <w:r>
        <w:t>Erwägungen</w:t>
      </w:r>
    </w:p>
    <w:p>
      <w:r>
        <w:rPr>
          <w:b/>
        </w:rPr>
        <w:t>E. 1</w:t>
      </w:r>
    </w:p>
    <w:p>
      <w:r>
        <w:t>Il ne se justifie pas d'ordonner la jonction des causes C/6______/2018 et C/15687/2018 à ce stade de la procédure, ce d'autant que les parties au procès ne sont pas les mêmes dans l'une et l'autre cause. Il ne sera dès lors pas donné suite à la conclusion préalable de l'intimée.</w:t>
      </w:r>
    </w:p>
    <w:p>
      <w:r>
        <w:rPr>
          <w:b/>
        </w:rPr>
        <w:t>E. 2.1</w:t>
      </w:r>
    </w:p>
    <w:p>
      <w:r>
        <w:t>L'appel à l'encontre d'une décision finale (art. 236 CPC et 308 al. 1 let. a CPC) est recevable s'il a été interjeté auprès de l'autorité d'appel compétente (cf. art. 124 let. a LOJ), dans les 30 jours à compter de la notification de la décision (art. 311 al. 1 CPC) et selon la forme prescrite par la loi (art. 130, 131 et 311 CPC).</w:t>
      </w:r>
    </w:p>
    <w:p>
      <w:r>
        <w:rPr>
          <w:b/>
        </w:rPr>
        <w:t>E. 2.2</w:t>
      </w:r>
    </w:p>
    <w:p>
      <w:r>
        <w:t>En l'occurrence, la décision dont est appel a été rendue par le Tribunal des prud'hommes dans une affaire patrimoniale dont la valeur litigieuse est, compte tenu des conclusions de la demande en paiement, supérieure à 10'000 fr. Il s'agit d'une décision finale, celle-ci ayant mis fin au procès par une décision au fond. Le jugement attaqué a été expédié à l'appelant – au chemin 2______ [no.] ______, [code postal] F______ – par pli recommandé du 3 mai 2019. Cet envoi, avisé pour retrait le 6 mai 2019, n'a pas été réclamé dans le délai de garde de sept jours qui a</w:t>
      </w:r>
    </w:p>
    <w:p>
      <w:r>
        <w:t>- 14/26 -</w:t>
      </w:r>
    </w:p>
    <w:p>
      <w:r>
        <w:t>C/15687/2018-5 expiré le 13 mai 2019. Un exemplaire du jugement a été renvoyé pour information à A______, à la même adresse, par pli simple du 12 juin 2019. Compte tenu du délai de garde de sept jours, le délai d'appel est arrivé à échéance le 12 juin 2019 (art. 138 al. 3 let. a CPC). Il suit de là que l'appel, formé le 21 juin 2019, est en principe irrecevable, vu sa tardiveté.</w:t>
      </w:r>
    </w:p>
    <w:p>
      <w:r>
        <w:rPr>
          <w:b/>
        </w:rPr>
        <w:t>E. 3</w:t>
      </w:r>
    </w:p>
    <w:p>
      <w:r>
        <w:t>L'appelant soutient que le délai d'appel n'a commencé à courir que le 18 juin 2019, à savoir le lendemain du jour où il avait "fortuitement pris connaissance du jugement [attaqué]". Il fait valoir que le jugement JTPH/163/2019 est frappé de nullité, de même que tous les actes de procédure l'ayant précédé, dans la mesure où ceux-ci ne lui ont pas été notifiés valablement. A cet égard, il expose qu'il est domicilié à I______ depuis juillet 2013 – et non à F______ –, raison pour laquelle il n'avait pas eu connaissance des communications expédiées par le Tribunal au chemin 2______ [no.] ______. De ce fait, il n'avait pas pu participer à l'instruction de la cause ni faire valoir ses moyens, ce qui consacrait une grave violation de son droit d'être entendu. Il était en outre manifeste que les parties n'avaient pas conclu de contrat de travail, de sorte que la demande en paiement de l'intimée aurait dû être déclarée irrecevable.</w:t>
      </w:r>
    </w:p>
    <w:p>
      <w:r>
        <w:t>L'ensemble des griefs soulevés par l'appelant a déjà été examiné par la Cour dans son arrêt CAPH/149/2020 du 29 juillet 2020. Par souci de clarté, cet examen sera repris ci-après dans la mesure utile.</w:t>
      </w:r>
    </w:p>
    <w:p>
      <w:r>
        <w:rPr>
          <w:b/>
        </w:rPr>
        <w:t>E. 3.1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rPr>
          <w:b/>
        </w:rPr>
        <w:t>E. 3.2</w:t>
      </w:r>
    </w:p>
    <w:p>
      <w:r>
        <w:t>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Hormis les cas prévus par la loi, la nullité ne doit être admise qu'exceptionnellement,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w:t>
      </w:r>
    </w:p>
    <w:p>
      <w:r>
        <w:t>- 15/26 -</w:t>
      </w:r>
    </w:p>
    <w:p>
      <w:r>
        <w:t>C/15687/2018-5 qu'une erreur manifeste de procédure (ATF 138 III 49 consid. 4.4.3; 130 III 430 consid. 3.3; arrêt du Tribunal fédéral 5A_647/2010 du 11 mars 2011 consid. 5.1).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L'irrégularité de la citation à comparaître empêche ainsi l'intéressé de prendre part à la procédure et de préserver ses droits procéduraux. Un jugement par défaut suppose une citation régulière (ATF 129 I 361 consid. 2.1 et 2.2 et les références citées, JdT 2004 II 47). Selon la jurisprudence, la nullité absolue d'un acte juridique ou d'une décision judiciaire doit être constatée d'office, en tout temps et par toute autorité chargée d'appliquer le droit, y compris en procédure de recours (ATF 138 II 501 consid. 3.1; 137 I 273 consid. 3.1).</w:t>
      </w:r>
    </w:p>
    <w:p>
      <w:r>
        <w:rPr>
          <w:b/>
        </w:rPr>
        <w:t>E. 3.3.1</w:t>
      </w:r>
    </w:p>
    <w:p>
      <w:r>
        <w:t>L'art. 138 al. 1 CPC prévoit que les citations, ordonnances et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En cas d'envoi recommandé et lorsque le destinataire qui ne retire pas l'envoi recommandé devait s'attendre à le recevoir, l'acte est également réputé notifié à l'expiration d'un délai de sept jours à compter de l'échec de la remise (art. 138 al. 3 let. a CPC). La fiction de la notification à l'échéance du délai de garde suppose que l'avis de retrait a été déposé dans la boîte aux lettres du destinataire et qu'il soit arrivé par conséquent dans sa sphère privée. La jurisprudence établit une présomption de fait (réfragable) selon laquelle l'employé postal a correctement inséré l'avis de retrait dans la boîte à lettres ou la case postale du destinataire et que la date de ce dépôt, telle qu'elle figure sur la liste des notifications, est exacte (arrêt du Tribunal fédéral 5A_28/2015 du 22 mai 2015 consid. 3.1.2).</w:t>
      </w:r>
    </w:p>
    <w:p>
      <w:r>
        <w:rPr>
          <w:b/>
        </w:rPr>
        <w:t>E. 3.3.2</w:t>
      </w:r>
    </w:p>
    <w:p>
      <w:r>
        <w:t>Selon un principe général de l'état de droit, une partie ne saurait subir un préjudice du fait d'une notification irrégulière (ATF 122 I 97 consid. 3 a/aa). Le respect des dispositions légales relatives à la notification n'est cependant pas un but en soi, de telle sorte qu'une irrégularité dans la notification n'entraîne pas</w:t>
      </w:r>
    </w:p>
    <w:p>
      <w:r>
        <w:t>- 16/26 -</w:t>
      </w:r>
    </w:p>
    <w:p>
      <w:r>
        <w:t>C/15687/2018-5 nécessairement la nullité de la décision judiciaire concernée. Il convient au contraire d'examiner de cas en cas, au vu des circonstances concrètes de l'espèce, si la partie concernée a effectivement été induite en erreur par l'irrégularité de la notification et a, de ce fait, subi un préjudice (arrêt du Tribunal fédéral 5A_881/2014 du 24 février 2015 consid. 3). Sont à cet égard décisives les règles de la bonne foi, qui fixent une limite à l'invocation d'un vice de forme (ATF 122 I 97 consid. 3a/aa).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(ATF 138 III 225 consid. 3.1; 130 III 396 consid. 1.2.3; arrêt du Tribunal fédéral 5A_881/2014 du 24 février 2015 consid. 3). Une telle obligation signifie que le destinataire doit, le cas échéant, désigner un représentant, faire suivre son courrier, informer les autorités de son absence ou leur indiquer une adresse de notification (ATF 117 V 131 consid. 4a; arrêts du Tribunal fédéral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(ATF 139 IV 228 consid. 1.1). Celui qui n'annonce pas un changement d'adresse en supporte les conséquences (arrêts du Tribunal fédéral 4A_246/2009 du 6 août 2009 consid. 3.4; 5P_50/2007 du 16 juillet 2007 consid. 2.1.1; ATF 101 Ia 332).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(ATF 116 Ia 90, JdT 1992 IV 118). Ce devoir existe lorsque le destinataire est partie à une procédure ayant cours, à partir de la litispendance (ATF 130 III 396 consid. 1.2.3, JdT 2005 II 87 et les références citées; arrêt du Tribunal fédéral 5A_466/2012 du</w:t>
      </w:r>
    </w:p>
    <w:p>
      <w:r>
        <w:rPr>
          <w:b/>
        </w:rPr>
        <w:t>E. 3.3.3</w:t>
      </w:r>
    </w:p>
    <w:p>
      <w:r>
        <w:t>Par "citation", le CPC vise les convocations aux actes de procédure auxquels une personne doit assister, en particulier les audiences et les inspections. La citation est une ordonnance de procédure qui invite une personne à comparaître en</w:t>
      </w:r>
    </w:p>
    <w:p>
      <w:r>
        <w:t>- 18/26 -</w:t>
      </w:r>
    </w:p>
    <w:p>
      <w:r>
        <w:t>C/15687/2018-5 qualité de partie (art. 202 al. 3, 245 al. 1, 265 al. 2 et 291 CPC), de témoin (art. 170 CPC), de personne appelée à fournir des renseignements ou d'expert (art. 187 CPC). La citation des parties est une formalité essentielle du procès qui porte à la connaissance de celles-ci la tenue d'une audience et leur permet d'exercer leur droit d'être entendu (BOHNET, op. cit., n. 2 à 4 ad art. 133 CPC). Selon l'art. 133 let. b CPC, la citation doit indiquer notamment le nom et l'adresse de la personne citée à comparaître. Elle doit être adressée au lieu de domicile de la personne physique devant être citée, à défaut à son lieu de résidence (cf. art. 11 CPC). Si la personne concernée indique une autre adresse au tribunal, c'est à cette adresse que les actes lui seront notifiés, indépendamment de son domicile légal. Lorsque plusieurs adresses sont indiquées, le tribunal pourra choisir l'une de ces adresses, et notifier tous les actes à la même adresse. Si une personne change de domicile ou d'adresse de notification en cours de procédure, il lui revient d'informer le tribunal; à défaut, celui-ci peut continuer d'adresser le pli à la même adresse (BOHNET, op. cit., n. 9 ad art. 133 CPC).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 condition essentielle de l'efficacité – et donc de la validité – de la citation est la possibilité, pour le destinataire, de participer à l'audience et d'en apprécier l'importance et la portée. En outre, une éventuelle imprécision ou incomplétude de la citation doit être relevée immédiatement, sous peine de péremption (arrêt du Tribunal fédéral 5A_665/2016 du 7 mars 2017 consid. 2.3.1).</w:t>
      </w:r>
    </w:p>
    <w:p>
      <w:r>
        <w:rPr>
          <w:b/>
        </w:rPr>
        <w:t>E. 3.4.1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7B_241/2003 du 8 janvier 2004 consid. 4; ATF 125 III 100 consid. 3; 120 III 7 consid. 2a). Le domicile comprend deux éléments : un élément objectif de résidence et l'intention durable de s'y établir, qui doit se manifester d'une façon objectivement reconnaissable par des tiers (ATF 125 III 100, consid. 3).</w:t>
      </w:r>
    </w:p>
    <w:p>
      <w:r>
        <w:t>- 19/26 -</w:t>
      </w:r>
    </w:p>
    <w:p>
      <w:r>
        <w:t>C/15687/2018-5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citées; arrêt du Tribunal fédéral 5A_542/2014 du 18 septembre 2014 consid. 4.1.3). Conformément à l'art. 8 CC, la preuve du domicile doit être apportée par celui qui veut en déduire un droit (HALDY, CR CPC, 2ème éd., 2019, n. ad art. 10 et les références citées).</w:t>
      </w:r>
    </w:p>
    <w:p>
      <w:r>
        <w:rPr>
          <w:b/>
        </w:rPr>
        <w:t>E. 3.4.2</w:t>
      </w:r>
    </w:p>
    <w:p>
      <w:r>
        <w:t>Selon l'art. 11 al. 2 CPC, une personne a sa résidence habituelle au lieu où elle vit pendant une certaine durée, même si cette durée est d'emblée limitée. La résidence habituelle est une notion de fait, identique à celle de l'art. 20 al. 1 let. b LDIP; elle implique la présence physique dans un lieu donné. La notion de "certaine durée" s'applique en fonction des circonstances concrètes de l'espèce (ATF 117 II 334 consid. 4a, JdT 1995 I 56, 58). Ce n'est pas la durée de la présence dans un endroit donné qui est décisive, mais bien la perspective d'une telle durée (arrêt du Tribunal fédéral 5A_220/2009 du 30 juin 2009 consid. 4.1.2); un séjour de six mois crée en principe une résidence habituelle, mais la résidence peut également devenir habituelle sitôt après le changement du lieu de séjour si elle est destinée à être durable et à remplacer le précédent centre d'intérêt (arrêt du Tribunal fédéral 5A_650/2009 du 11 novembre 2009 consid. 5.2). La résidence habituelle se détermine sur la base d'éléments perceptibles de l'extérieur et elle est définie pour chaque personne séparément (arrêt du Tribunal fédéral 5A_550/2012 du 10 septembre 2012 consid. 3.3.1, SJ 2013 I 25).</w:t>
      </w:r>
    </w:p>
    <w:p>
      <w:r>
        <w:rPr>
          <w:b/>
        </w:rPr>
        <w:t>E. 3.5</w:t>
      </w:r>
    </w:p>
    <w:p>
      <w:r>
        <w:t>L'appelant se prévaut d'une violation de son droit d'être entendu pour avoir été empêché de participer à la procédure sans faute de sa part. Il prétend que les différents actes de procédure, à commencer par la citation à l'audience de conciliation du 31 juillet 2018, ne lui sont jamais parvenus. Ce n'est que lors d'un passage fortuit à Genève, le 17 juin 2019, qu'il avait eu connaissance de la procédure et du jugement attaqué. Il ne conteste pas être propriétaire d'un bien immobilier situé à F______, mais il allègue qu'il ne s'agit pas de son domicile et qu'il n'aurait pas dû être convoqué à cette adresse. Cette argumentation ne résiste pas à l'examen comme il sera vu ci-après.</w:t>
      </w:r>
    </w:p>
    <w:p>
      <w:r>
        <w:rPr>
          <w:b/>
        </w:rPr>
        <w:t>E. 3.5.1</w:t>
      </w:r>
    </w:p>
    <w:p>
      <w:r>
        <w:t>En premier lieu, il est constant que l'appelant est un citoyen suisse originaire de E______, qu'il maîtrise parfaitement le français oral et écrit, que ses parents sont propriétaires d'un appartement à E______ et qu'il a récemment acquis une</w:t>
      </w:r>
    </w:p>
    <w:p>
      <w:r>
        <w:t>- 20/26 -</w:t>
      </w:r>
    </w:p>
    <w:p>
      <w:r>
        <w:t>C/15687/2018-5 vaste propriété à F______ (selon ses dires en 2016), sur laquelle est érigée une habitation de 658 m2 pour une surface totale de 9'566 m2 et qu'il y a effectué d'importants travaux de rénovation. En dépit de l'annonce (auprès de l'OCPM) de son départ pour I______ en juillet 2013, l'appelant n'a donc pas rompu ses attaches avec le canton de Genève. A noter qu'aucun élément probant ne permet de retenir que la maison de F______ aurait été totalement inhabitable en 2016 et 2017. L'appelant a lui-même déclaré à la police qu'il avait exigé le départ de l'intimée et de son compagnon en juin 2017, alors que le couple logeait sur place depuis plus d'un an, pour pouvoir passer l'été en famille dans cette maison. De plus, l'appelant n'a pas produit les devis, contrats d'entreprise, procès-verbaux de chantier ou autres documents propres à détailler les travaux entrepris et leur planning. Il s'est au contraire limité à produire quelques photographies d'un couloir et d'une ou deux pièces, ce qui ne permet pas de voir la maison dans sa globalité, encore moins d'appréhender la nature, l'ampleur et la durée des travaux. En second lieu, il est constant qu'après avoir quitté la maison de F______, l'intimée et son compagnon ont émis des prétentions salariales à l'encontre de l'appelant, exposant être liés à celui-ci par un contrat de travail oral, et que l'appelant en était parfaitement informé : déjà mentionnées par l'intimée dans sa requête du 20 juillet 2017 formée devant le Tribunal des baux et loyers, ainsi que par Me K______ dans son courrier du 27 juillet 2017, l'appelant a lui-même fait état de ces prétentions lors de son audition par la police, exposant que le couple lui réclamait une somme avoisinant 70'000 fr. pour le travail effectué dans sa maison de F______. Par pli de leur conseil du 8 janvier 2018, l'intimée et son compagnon ont en outre signifié à l'appelant leur ferme intention de faire valoir ces prétentions en justice, en "dépo[sant] une action devant le Tribunal des prud'hommes". Il ressort du dossier qu'à compter du mois d'avril 2016 et jusqu'au début de la litispendance en juin 2018, l'appelant a systématiquement eu recours à son adresse genevoise dans le cadre de ses interactions avec l'intimée. Ainsi, le contrat de bail signé le 9 avril 2016 ne fait aucune référence à une adresse [à] I______, mais stipule que le bailleur, à savoir l'appelant, a pour adresse le chemin 2______ [no.] ______, [code postal] F______. Ce faisant, l'appelant a signifié à sa cocontractante sa volonté d'être atteint à cette adresse pour toute communication en lien avec la chose louée, à l'exemple d'une résiliation du bail par les locataires. Il a, de surcroît, signifié sa volonté d'être atteint à cette adresse de manière durable, le bail ayant été conclu pour une durée initiale d'un an, du 1er avril 2016 au 1er avril 2017, avec une clause de renouvellement tacite pour une durée indéterminée (selon l'art. 3 du contrat), respectivement pour une année supplémentaire (selon l'art. 9 du contrat). C'est également cette adresse que l'appelant a indiqué dans son courrier du 29 juin 2017 – quinze mois après le</w:t>
      </w:r>
    </w:p>
    <w:p>
      <w:r>
        <w:t>- 21/26 -</w:t>
      </w:r>
    </w:p>
    <w:p>
      <w:r>
        <w:t>C/15687/2018-5 début des rapports de bail – sommant l'intimée de déplacer son véhicule hors de la propriété de F______. Cette volonté a été comprise comme telle par l'intimée, qui a fait valoir ses droits de locataire en assignant l'appelant à son adresse de F______, à la suite de quoi ce dernier a confié la défense de ses intérêts à un avocat pour les aspects civils du litige. La plainte pénale de J______, déposée le 19 septembre 2017, a également été dirigée contre l'appelant, attrait à son "domicile" de F______, et c'est encore à cette adresse (i.e. au "domicile" du prévenu) qu'il s'est vu notifier l'ordonnance de non-entrée en matière du 15 novembre 2017 par le Ministère public; l'appelant ne conteste d'ailleurs pas avoir reçu cette ordonnance – qu'il a produite à l'appui de sa demande du 20 juin 2019 – à son adresse genevoise. A cela s'ajoute que l'appelant, qui a déclaré "habiter" à I______ (et non pas y être domicilié) lors de son audition par la police en octobre 2017, n'a pas fait rectifier l'adresse de son domicile vis-à-vis des autorités pénales, pas plus qu'il n'a jugé utile, en l'absence (supposée) de domicile à Genève, d'élire domicile auprès d'un tiers afin de s'assurer de recevoir toute communication relative à la plainte pénale le concernant. Il résulte également des circonstances évoquées ci-dessus que l'appelant était physiquement présent – et atteignable – à F______ non seulement en juin 2017, mais également au cours de l'été et de l'automne 2017. Finalement, ni l'appelant ni son conseil de l'époque n'ont laissé entendre que son domicile ne se trouvait pas à F______ mais à I______, quand bien même l'appelant avait déjà été attrait en justice par l'intimée et son compagnon à son "domicile" de F______, une première fois devant le Tribunal des baux et loyers et une deuxième fois devant le Ministère public. En particulier, l'appelant ne s'est jamais préoccupé de communiquer aux autorités, respectivement à l'intimée, une adresse de notification autre que son adresse genevoise, cela également après que son avocat a cessé de le représenter dans le cadre du litige civil opposant les parties. Or, ces différents éléments sont autant d'indices concrets corroborant le fait qu'au début de la litispendance, l'appelant avait son domicile effectif, ou à tout le moins sa résidence habituelle au chemin 2______ [no.] ______, [code postal] F______.</w:t>
      </w:r>
    </w:p>
    <w:p>
      <w:r>
        <w:rPr>
          <w:b/>
        </w:rPr>
        <w:t>E. 3.5.2</w:t>
      </w:r>
    </w:p>
    <w:p>
      <w:r>
        <w:t>Il découle des considérations qui précèdent que l'appelant savait pertinemment que l'intimée était "déterminée" à l'attraire devant la Juridiction des prud'hommes, cette volonté lui ayant été communiquée de façon claire et non équivoque par courrier du 8 janvier 2018. De surcroît, l'appelant pouvait – et devait – s'attendre, avec un degré de vraisemblance confinant à la certitude, à ce que l'intimée l'assigne à son adresse de F______, ainsi qu'elle-même et son compagnon l'avaient fait par deux fois, avec succès, au cours des mois précédents.</w:t>
      </w:r>
    </w:p>
    <w:p>
      <w:r>
        <w:rPr>
          <w:b/>
        </w:rPr>
        <w:t>E. 3.5.3</w:t>
      </w:r>
    </w:p>
    <w:p>
      <w:r>
        <w:t>Contrairement à ce que l'appelant a plaidé dans son appel dirigé contre le jugement JTPH/445/2019, le fait qu'environ six mois se sont écoulés entre le courrier du 8 janvier 2018 et le dépôt de la demande en paiement ne suffit pas à changer cette appréciation.</w:t>
      </w:r>
    </w:p>
    <w:p>
      <w:r>
        <w:t>- 22/26 -</w:t>
      </w:r>
    </w:p>
    <w:p>
      <w:r>
        <w:t>C/15687/2018-5 D'une part, il ne résulte pas du dossier que Me K______ aurait (comme c'est l'usage) avisé le conseil de l'intimée qu'il avait cessé d'occuper pour la défense des intérêts de l'appelant et que l'élection de domicile en son étude était révoquée. A réception de la demande de l'intimée, l'autorité de conciliation du Tribunal a informé Me K______ du dépôt de cette demande par courrier du 5 juillet 2018, en l'invitant à lui confirmer sa constitution, à défaut de quoi la citation à l'audience de conciliation serait adressée directement à l'appelant – soit, en bonne logique, au chemin 2______ [no.] ______, [code postal] F______; dans sa réponse du 6 juillet 2018, Me K______ s'est borné à indiquer qu'il n'était "pas en charge des intérêts" de l'appelant, sans prendre d'autre disposition vis-à-vis de l'intimée et de son conseil. L'intimée en a inféré de bonne foi que l'appelant demeurait atteignable à son domicile élu, respectivement à son adresse genevoise, en dépit du temps écoulé depuis l'envoi de son courrier du 8 janvier 2018. Ainsi que l'a pertinemment relevé l'intimée, il est par ailleurs hautement vraisemblable – au vu du devoir d'information auquel l'avocat est tenu envers son client, y compris à l'issue de son mandat – que Me K______, au fait du litige opposant les parties, a communiqué cet échange à l'appelant pour l'aviser que le procès annoncé venait de débuter. D'autre part, l'appelant n'avait aucune raison de douter du fait que l'intimée allait prochainement l'assigner devant le Tribunal à son adresse genevoise, puisque celle-ci et J______ l'avaient déjà attrait par deux fois en justice, tant au civil qu'au pénal, en utilisant cette même adresse. Dans ce contexte, le fait qu'environ six mois s'étaient écoulés entre l'annonce du dépôt de la demande et son dépôt effectif n'était pas un intervalle suffisant pour suggérer que la déclaration d'intention du 8 janvier 2018 relevait d'une simple figure de style et ne devait pas être prise au sérieux.</w:t>
      </w:r>
    </w:p>
    <w:p>
      <w:r>
        <w:rPr>
          <w:b/>
        </w:rPr>
        <w:t>E. 3.5.4</w:t>
      </w:r>
    </w:p>
    <w:p>
      <w:r>
        <w:t>En définitive, la citation à l'audience de conciliation, de même que les actes de procédure subséquents (y compris le jugement attaqué), ont été expédiés à l'adresse genevoise désignée par l'appelant comme étant le lieu de notification où l'atteindre pour toute question relative à la liquidation de ses rapports contractuels avec l'intimée. Les circonstances entourant le dépôt de la demande en paiement, en juin 2018, viennent en outre confirmer le fait que cette adresse correspondait à l'époque au domicile ou à tout le moins à la résidence habituelle de l'appelant. En tant que les indications prévues par l'art. 133 CPC visent à permettre à la personne citée de se préparer adéquatement à l'audience, d'en apprécier l'importance et la portée, il convient de retenir que la citation à l'audience de conciliation du 31 juillet 2018 n'est pas viciée, à l'instar des actes judiciaires qui lui ont succédé, ce qui inclut le jugement attaqué. Dans la mesure où l'appelant devait, selon les règles de la bonne foi, s'attendre à être attrait devant la Juridiction des prud'hommes à son adresse de F______, il est réputé avoir eu connaissance des plis recommandés que cette autorité lui a</w:t>
      </w:r>
    </w:p>
    <w:p>
      <w:r>
        <w:t>- 23/26 -</w:t>
      </w:r>
    </w:p>
    <w:p>
      <w:r>
        <w:t>C/15687/2018-5 expédiés à cette adresse, à l'échéance du délai de garde de sept jours. En effet, l'appelant pouvait et devait supposer que toute invitation à retirer un pli judiciaire se rapportait au litige prud'homal l'opposant à l'intimée. Au surplus, l'ensemble des plis recommandés ayant été retournés avec la mention "Non réclamé" (et non avec la mention "Destinataire inconnu à l'adresse indiquée"), le Tribunal n'était pas tenu de procéder par la voie édictale au sens de l'art. 141 al. 1 let. a CPC. Il suit de là que l'appelant est réputé avoir eu connaissance du jugement attaqué – notifié par pli recommandé du 3 mai 2019 – le 13 mai 2019 au plus tard, soit à l'échéance du délai de garde de sept jours. Partant, le délai d'appel est arrivé à son terme le 12 juin 2019.</w:t>
      </w:r>
    </w:p>
    <w:p>
      <w:r>
        <w:rPr>
          <w:b/>
        </w:rPr>
        <w:t>E. 3.5.5</w:t>
      </w:r>
    </w:p>
    <w:p>
      <w:r>
        <w:t>Contrairement à ce que plaide l'appelant, les pièces versées au dossier ne démontrent pas qu'il aurait effectivement résidé (ou été domicilié) à I______ au début de la litispendance et dans les mois qui ont suivis. Curieusement, l'appelant, qui est assisté d'un avocat, n'a produit aucune pièce propre à déterminer son lieu de séjour en 2017-2018, alors qu'il eût été aisé de le faire : à l'appui de ses allégués, l'appelant aurait pu, par exemple, produire une copie de son passeport tamponné, attestant de la date de ses entrées et sorties du territoire émirati, ses billets d'avion I______-Genève, ses factures d'électricité attestant de sa consommation effective d'eau, de gaz et d'électricité à I______, ses factures de téléphone à son adresse [à] I______, avec la liste de ses appels entrants et sortants aux Emirats arabes unis, ses relevés bancaires et/ou ses relevés de cartes de crédit attestant de ses dépenses à I______, ses factures de médecin et/ou de dentiste pour les traitements suivis à I______, etc. A cela s'ajoute que l'appelant n'a pas fourni le moindre détail sur sa situation personnelle et sur ses conditions de vie à I______, de sorte que l'on ignore tout de ses (éventuelles) attaches familiales, sociales et professionnelles avec cette ville – alors même que ces circonstances sont décisives lorsqu'il s'agit de déterminer où se focalise le centre d'existence d'un individu et, par extension, où se trouve son domicile. L'appelant s'est, au contraire, borné à produire quelques papiers officiels, qui constituent tout au plus des indices de l'existence d'un domicile au lieu qu'ils indiquent, sans pour autant le certifier. Ces documents – à savoir une attestation de l'OCPM, divers documents établis par les autorités émiraties (carte de résident, permis de conduire, avis de taxation immobilière) et trois certificats d'assurance- maladie – ne sont pas concluants et appellent les commentaires suivants : l'attestation de l'OCMP enregistre l'annonce du départ de l'appelant pour I______ en juillet 2013, mais n'atteste pas de sa présence effective dans cette ville depuis lors. La carte de résident aux Emirats arabes unis ne mentionne pas son adresse [à] I______ et l'on ignore à quelles conditions et à quel titre cette carte a été délivrée; il n'est donc pas exclu que l'appelant l'ait obtenue pour des raisons fiscales, indépendantes de son lieu de résidence effectif. Le permis de conduire,</w:t>
      </w:r>
    </w:p>
    <w:p>
      <w:r>
        <w:t>- 24/26 -</w:t>
      </w:r>
    </w:p>
    <w:p>
      <w:r>
        <w:t>C/15687/2018-5 délivré en 2014 pour une durée de dix ans, ne mentionne pas son adresse [à] I______ et ne permet pas d'exclure le fait qu'il détienne également un permis de conduire en Suisse. L'avis de taxation immobilière atteste du fait qu'il est propriétaire d'un appartement à I______; or, depuis lors, l'appelant a acquis une vaste propriété à F______ qu'il a rénovée à son goût, ce qui signifie qu'il paie des impôts à Genève en relation avec ce bien immobilier. Les certificats d'assurance, qui émanent d'une entité sise en Ecosse, attestent quant à eux du fait que l'appelant bénéficie d'une couverture internationale d'assurance-maladie, à l'instar de nombreux hommes d'affaires amenés à voyager dans le cadre de leurs activités professionnelles. Dans ces conditions, l'appelant a échoué à établir qu'il était domicilié ou qu'il résidait à I______ à l'époque du dépôt de la demande de l'intimée.</w:t>
      </w:r>
    </w:p>
    <w:p>
      <w:r>
        <w:rPr>
          <w:b/>
        </w:rPr>
        <w:t>E. 3.5.6</w:t>
      </w:r>
    </w:p>
    <w:p>
      <w:r>
        <w:t>Au surplus, c'est à tort que l'appelant soutient que le Tribunal aurait dû constater d'emblée son incompétence à raison de la matière, au motif que les parties n'avaient manifestement jamais été liées par un contrat de travail. En effet, il ne ressort pas du dossier que les prétentions salariales de l'intimée seraient manifestement chicanières, fantaisistes ou inexistantes. L'appelant a lui- même reconnu devant la police qu'il avait chargé l'intimée et son compagnon d'effectuer des travaux de gardiennage dans sa propriété de F______ et qu'il les avait rémunérés pour avoir réalisé des travaux de peinture. Le Tribunal, qui s'est fondé sur les allégués – non contestés – de l'intimée et sur les pièces versées à la procédure, n'a donc pas versé dans l'arbitraire en retenant que les parties avaient été liées par un contrat de travail. Contrairement à ce que semble soutenir l'appelant, le Ministère public n'a pas considéré que les prétentions civiles de J______ étaient à l'évidence infondées et donc vouées à l'échec; le Ministère public a certes considéré que les déclarations du précité n'étaient pas crédibles en tant qu'il reprochait à l'appelant d'avoir proféré des menaces à son endroit; il ne s'est en revanche pas prononcé sur le volet civil du litige, en soulignant que la justice pénale n'avait pas à "déterminer les tenants et les aboutissements des accords conclus entre les parties s'agissant d'éventuels contrats de travail ou s'agissant du bail à loyer".</w:t>
      </w:r>
    </w:p>
    <w:p>
      <w:r>
        <w:rPr>
          <w:b/>
        </w:rPr>
        <w:t>E. 3.5.7</w:t>
      </w:r>
    </w:p>
    <w:p>
      <w:r>
        <w:t>Compte tenu des considérations qui précèdent, la Cour, à la suite du Tribunal, ne discerne aucun motif de nullité entachant le jugement JTPH/163/2019. En particulier, il ne ressort pas de la procédure que les droits essentiels de l'appelant, en particulier son droit d'être entendu, auraient été gravement violés, ni que cette décision aurait été prononcée par une autorité manifestement incompétente – sur le plan fonctionnel ou matériel – pour connaître du litige.</w:t>
      </w:r>
    </w:p>
    <w:p>
      <w:r>
        <w:t>- 25/26 -</w:t>
      </w:r>
    </w:p>
    <w:p>
      <w:r>
        <w:t>C/15687/2018-5</w:t>
      </w:r>
    </w:p>
    <w:p>
      <w:r>
        <w:rPr>
          <w:b/>
        </w:rPr>
        <w:t>E. 3.5.8</w:t>
      </w:r>
    </w:p>
    <w:p>
      <w:r>
        <w:t>Finalement, l'appelant n'a pas sollicité, dans son mémoire d'appel, la restitution du délai pour former appel du jugement attaqué. En tout état, il ne fait valoir aucun motif propre à justifier une telle restitution, à l'exemple d'un accident ou d'une maladie subite qui l'aurait empêché d'agir en temps utile.</w:t>
      </w:r>
    </w:p>
    <w:p>
      <w:r>
        <w:rPr>
          <w:b/>
        </w:rPr>
        <w:t>E. 3.5.9</w:t>
      </w:r>
    </w:p>
    <w:p>
      <w:r>
        <w:t>Il découle des considérations qui précèdent que l'appel du 21 juin 2019 est tardif, puisqu'il n'a pas été interjeté dans le délai légal de trente jours. Il sera par conséquent déclaré irrecevable.</w:t>
      </w:r>
    </w:p>
    <w:p>
      <w:r>
        <w:rPr>
          <w:b/>
        </w:rPr>
        <w:t>E. 4</w:t>
      </w:r>
    </w:p>
    <w:p>
      <w:r>
        <w:t>La procédure d'appel est gratuite (art. 114 let. c cum 116 al. 1 CPC; art. 19 al. 3 let. c LaCC) et ne donne pas lieu à l'allocation de dépens (art. 22 al. 2 LaCC). * * * * *</w:t>
      </w:r>
    </w:p>
    <w:p>
      <w:r>
        <w:t>- 26/26 -</w:t>
      </w:r>
    </w:p>
    <w:p>
      <w:r>
        <w:t>C/15687/2018-5 PAR CES MOTIFS, La Chambre des prud'hommes, groupe 5 :</w:t>
      </w:r>
    </w:p>
    <w:p>
      <w:r>
        <w:t>Déclare irrecevable l'appel formé le 21 juin 2019 par A______ contre le jugement JTPH/163/2019 rendu le 3 mai 2019 par le Tribunal des prud'hommes dans la cause C/15687/2018-5. Déboute les parties de toutes autres conclusions. Dit qu'il n'est pas perçu de frais judiciaires ni alloué de dépens d'appel. Siégeant : Madame Nathalie RAPP, présidente; Monsieur Michael RUDERMANN, juge employeur; Monsieur Willy KNOPFEL,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