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CAPH/54/2020 vom 27. Februar 2020</w:t>
      </w:r>
    </w:p>
    <w:p>
      <w:r>
        <w:t>GE Cour de justice, 2020-02-27, FR</w:t>
      </w:r>
    </w:p>
    <w:p>
      <w:r>
        <w:rPr>
          <w:b/>
        </w:rPr>
        <w:t xml:space="preserve">Quelle: </w:t>
      </w:r>
      <w:r>
        <w:t>https://mcp.opencaselaw.ch/entscheid/ge_gerichte_CAPH_54_2020</w:t>
      </w:r>
    </w:p>
    <w:p>
      <w:r>
        <w:t>FR: GE_GERICHTE CAPH/54/2020 du 27 février 2020</w:t>
      </w:r>
    </w:p>
    <w:p>
      <w:r>
        <w:t>IT: GE_GERICHTE CAPH/54/2020 del 27 febbraio 2020</w:t>
      </w:r>
    </w:p>
    <w:p>
      <w:pPr>
        <w:pStyle w:val="Heading2"/>
      </w:pPr>
      <w:r>
        <w:t>Erwägungen</w:t>
      </w:r>
    </w:p>
    <w:p>
      <w:r>
        <w:rPr>
          <w:b/>
        </w:rPr>
        <w:t>E. 1.1</w:t>
      </w:r>
    </w:p>
    <w:p>
      <w:r>
        <w:t>Formé dans les délai et forme prescrit contre une décision finale de première instance, rendue dans une affaire dont la valeur litigieuse est supérieure à 10'000 fr., l'appel est recevable (art. 308 et 311 CPC).</w:t>
      </w:r>
    </w:p>
    <w:p>
      <w:r>
        <w:rPr>
          <w:b/>
        </w:rPr>
        <w:t>E. 1.2</w:t>
      </w:r>
    </w:p>
    <w:p>
      <w:r>
        <w:t>La Cour revoit la cause en fait et en droit (art. 310 CPC).</w:t>
      </w:r>
    </w:p>
    <w:p>
      <w:r>
        <w:rPr>
          <w:b/>
        </w:rPr>
        <w:t>E. 2</w:t>
      </w:r>
    </w:p>
    <w:p>
      <w:r>
        <w:t>L'appelante reproche au Tribunal des prud'hommes d'avoir considéré que le contrat de travail de l'intimé a été résilié en raison de son appartenance au syndicat et d'avoir en conséquence retenu que le licenciement était abusif.</w:t>
      </w:r>
    </w:p>
    <w:p>
      <w:r>
        <w:rPr>
          <w:b/>
        </w:rPr>
        <w:t>E. 2.1</w:t>
      </w:r>
    </w:p>
    <w:p>
      <w:r>
        <w:t>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Le congé est abusif lorsqu'il est donné par l'employeur en raison de l'appartenance ou de la non-appartenance du travailleur à une organisation de travailleurs ou en raison de l'exercice conforme au droit d'une activité syndicale (art. 336 al. 2 let. a CO). Cette disposition instaure une protection spéciale de la liberté syndicale garantie à l'art. 28 al. 1 Cst.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Pour que le congé soit abusif, il doit exister un lien de causalité entre l'activité syndicale exercée conformément au droit et le licenciement. Afin de pouvoir dire si un congé est abusif, il faut se fonder sur son motif réel (arrêts du Tribunal fédéral 4A_485/2015 du 15 février 2016, consid. 3.1; 4A_408/2010 du 7 octobre 2010 consid. 2.3).</w:t>
      </w:r>
    </w:p>
    <w:p>
      <w:r>
        <w:t>- 10/16 -</w:t>
      </w:r>
    </w:p>
    <w:p>
      <w:r>
        <w:t>C/6597/2017-4 Dans le cadre de l'art. 336 al. 2 let. a CC, relatif au congé donné en raison de l'appartenance ou non appartenance à un syndicat ou en raison de l'exercice d'une activité syndicale et à la différence des cas prévus aux art. 336 al. 1 let. a et b CO (raison inhérente à la personnalité ou en raison de l'exercice d'un droit constitutionnel), le fait que l'activité syndicale d'un travailleur perturbe le travail en commun dans l'entreprise ne constitue pas un motif justifiant le licenciement (PORTMANN/RUDOLPH, in Basler Kommentar, Obligationenrecht I (2015), n. 16 ad art. 336). L'employeur n'abuse pas de son droit de résiliation s'il met un terme au contrat du travailleur en raison des critiques de celui-ci quant à la stratégie, l'organisation ou la gestion de l'établissement décidées par l'employeur. Un travailleur demeure subordonné à son employeur et n'est donc pas en position de faire prévaloir sa propre vision de la manière de gérer l'établissement (Arrêt du Tribunal fédéral 4A- 325/2008 du 6 octobre 2008, consid. 3). N'est de même pas abusif le congé qui est fondé sur des manquements ou des défauts de caractère du travailleur qui nuisent au travail en commun (ATF 136 III 513 consid. 2.5). En application de l'art. 8 CC, c'est, en principe, à la partie qui a reçu son congé de démontrer que celui-ci est abusif (ATF 123 III 246). Le juge peut présumer l'existence d'un congé abusif lorsque l'employé parvient à présenter des indices suffisants pour faire apparaître comme non réel le motif avancé par l'employeur. Celui-ci doit alors fournir des preuves à l'appui de ses propres allégations (ATF 130 III 699 consid. 4).</w:t>
      </w:r>
    </w:p>
    <w:p>
      <w:r>
        <w:rPr>
          <w:b/>
        </w:rPr>
        <w:t>E. 2.2</w:t>
      </w:r>
    </w:p>
    <w:p>
      <w:r>
        <w:t>Il n'est, en l'espèce, pas contesté que l'appelante souhaitait mettre en place de nouvelles procédures et méthodes de travail lorsqu'elle a repris les bureaux de change à D______ en décembre 2015, et que ses collaborateurs lui ont opposé une certaine résistance dans la phase d'implémentation de ces nouvelles procédures. Certains employés se sont plaints auprès de la direction de D______ en janvier 2016 et, en février 2016, le syndicat G______ a pris contact avec l'appelante en vue de régler diverses problématiques soulevées par le personnel de celle-ci. Une entrevue a eu lieu dans cette optique le 23 février 2016, réunissant le directeur des ressources humaines et le conseil de l'appelante, le représentant du syndicat, ainsi que B______ et une autre collaboratrice pour le personnel. Dans le cadre de la correspondance échangée entre le représentant du syndicat et l'appelante, le représentant du syndicat a informé cette dernière le 16 mars 2016 que B______ et deux collaboratrices de l'appelante ont été désignés comme délégués syndicaux. L'intimé s'est vu signifier son congé le 29 mars 2016, et les deux autres délégués syndicaux ont été licenciés durant la même semaine. Ces éléments, ainsi que la chronologie des événements, constituent de sérieux indices en faveur de la thèse de l'intimé qui soutient avoir été congédié en raison de son appartenance syndicale.</w:t>
      </w:r>
    </w:p>
    <w:p>
      <w:r>
        <w:t>- 11/16 -</w:t>
      </w:r>
    </w:p>
    <w:p>
      <w:r>
        <w:t>C/6597/2017-4 L'appelante explique avoir mis fin aux relations de travail avec l'intimé parce que ses compétences n'étaient pas en adéquation avec les exigences du poste et qu'il ne respectait pas les procédures internes. Il ressort du dossier que l'intimé a fourni un travail de qualité que ses performances étaient bonnes, ce qui, il est vrai, ne dispense pas un employé de se conformer aux instructions de son employeur. L'appelante attachait une grande importance à l'implémentation et au respect des nouvelles procédures au sein des bureaux de Genève, et l'hypothèse du licenciement de l'intimé avait été envisagée le 17 février 2016 déjà, soit avant sa désignation en qualité de délégué syndical, lorsque E______ avait mentionné cette éventualité dans un courriel adressé au responsable des ressources humaines s'il continuait à ne pas respecter les procédures internes. L'intimé avait toutefois tenu un rôle actif dans les doléances exprimées à l'appelante depuis le mois de janvier 2016 déjà, lorsqu'il était intervenu auprès de J______ en lien avec la question de l'indication de l'identité des collaborateurs sur les reçus remis aux clients, et il avait représenté le personnel lors de la réunion tenue le 23 février 2016 avant sa désignation officielle en qualité de délégué syndical. L'appelante n'expose par ailleurs pas précisément à quelles règles et procédures l'intimé ne se soumettait pas. Le fait qu'elle ne lui ait adressé aucun avertissement formel ni n'ait démontré quels reproches précis avaient été exprimés à l'intimé ne permet pas de retenir que le comportement reproché à l'intimé excède le cadre d'une activité syndicale conforme et relève d'une violation de son obligation de fidélité. Au vu de ce qui précède, l'intimé est parvenu à présenter des indices probants de sa thèse, tandis que l'appelante n'a pas fait la démonstration des motifs invoqués à l'appui de sa décision de licenciement. La Chambre d'appel retiendra ainsi, à l'instar des premiers juges, que l'appelante a dénoncé le contrat de travail la liant à l'intimé en raison de l'activité syndicale menée par ce dernier. Son licenciement est en conséquence abusif.</w:t>
      </w:r>
    </w:p>
    <w:p>
      <w:r>
        <w:rPr>
          <w:b/>
        </w:rPr>
        <w:t>E. 3</w:t>
      </w:r>
    </w:p>
    <w:p>
      <w:r>
        <w:t>L'appelante fait grief au Tribunal des prud'hommes d'avoir octroyé à l'intimé une indemnité équivalent à six mois de salaire ainsi que des dommages-intérêts correspondant au gain manqué du 1er octobre 2016 au 21 août 2018.</w:t>
      </w:r>
    </w:p>
    <w:p>
      <w:r>
        <w:t>3.1.1 La partie qui résilie abusivement le contrat doit verser à l'autre une indemnité (art. 336a al. 1 CO). L'indemnité est fixée par le juge compte tenu de toutes les circonstances; toutefois, elle ne peut dépasser le montant correspondant à six mois de salaire du travailleur; sont réservés les dommages-intérêts qui pourraient être dus à un autre titre (art. 336a al. 2 CO). Le juge dispose d'un large pouvoir d'appréciation (art. 4 CC). 3.1.2 Le montant de l'indemnité doit être évalué selon les règles du droit et de l'équité. Il faut notamment prendre en considération la gravité de la faute commise par l'employeur, une éventuelle faute concomitante du travailleur, la gravité de l'atteinte à sa personnalité, son âge, la durée et l'intensité de la relation de travail,</w:t>
      </w:r>
    </w:p>
    <w:p>
      <w:r>
        <w:t>- 12/16 -</w:t>
      </w:r>
    </w:p>
    <w:p>
      <w:r>
        <w:t>C/6597/2017-4 les effets économiques du licenciement pour le travailleur et les difficultés de réinsertion dans la vie économique (ATF 123 III 391 consid. 3; 123 III 246 consid. 6a; arrêt du Tribunal fédéral 4A_166/2018 du 20 mars 2019, consid. 4.1; WYLER/HEINZER, Droit du travail, 2019, p 831; PORTMANN/RUDOLPH, op. cit., n. 3 ad art. 336a). Une durée de contrat particulièrement courte ne saurait servir d'argument pour réduire l'indemnité (ATF 123 III 246 consid. 6a, trad. in JdT 1998 I p. 300). 3.1.3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(ATF 135 III 405 consid. 31; 123 III 391 consid. 3c), sans que ce dernier ne fonde, en lui-même, une prétention supplémentaire à des dommages-intérêts, liés par exemple à une baisse de revenus subséquente au licenciement (WYLER/HEINZER, op. cit., p. 832). La réparation d'un préjudice suppose l'existence d'un dommage, d'une violation contractuelle, d'un lien de causalité entre la violation contractuelle et le dommage, et une faute (art. 97 CO).</w:t>
      </w:r>
    </w:p>
    <w:p>
      <w:r>
        <w:rPr>
          <w:b/>
        </w:rPr>
        <w:t>E. 3.2</w:t>
      </w:r>
    </w:p>
    <w:p>
      <w:r>
        <w:t>En l'espèce, l'indemnité de 26'325 fr. allouée par le Tribunal, correspondant à six mois de salaire de l'intimé, est justifiée au regard de l'âge de l'intimé, de ses difficultés à trouver un autre emploi, de la perte de gain subie par l'intimé à hauteur de 18'057 fr. 45 en raison du licenciement abusif, ainsi que de l'attitude fautive de l'appelante, que ses collaborateurs ont perçue comme un refus de tolérer toute démarche syndicale au sein de son entreprise. Il est vrai que les rapports de travail n'ont guère duré plus d'une année, dès lors que l'intimé a été engagé par C______ en mars 2015, que l'appelante a repris l'exploitation en décembre 2015 et que le congé a été signifié le 29 mars 2015. Il ne se justifie toutefois pas de réduire pour ce motif l'indemnité pour licenciement abusif, compte tenu de sa fonction punitive et réparatrice. L'on ne saurait enfin suivre l'appelante lorsqu'elle se prévaut du non-respect par l'intimé des procédures internes mises en place, contrevenant à ses obligations de diligence et de fidélité à l'égard de son employeur pour prétendre à une réduction de l'indemnité. Certes, selon les déclarations du représentant de l'appelante lors de l'audience tenue le 29 janvier 2019, l'intimé avait indiqué qu'il n'appliquerait pas les autres procédures tant que la question de l'indication du nom du collaborateur sur le reçu destiné aux clients ne serait pas résolu. Cet élément, dans le contexte de la reprise par l'appelante de l'entreprise, des ajustements effectués et de l'activité syndicale menée dans ce cadre, ne saurait, en l'absence de tout autre élément concret avancé par l'appelante, être considéré comme un manquement de l'intimé à ses obligations contractuelles justifiant de réduire l'indemnité pour licenciement abusif au sens de l'art. 336a CO.</w:t>
      </w:r>
    </w:p>
    <w:p>
      <w:r>
        <w:t>- 13/16 -</w:t>
      </w:r>
    </w:p>
    <w:p>
      <w:r>
        <w:t>C/6597/2017-4 Le ch. 2 du jugement entrepris sera en conséquence confirmé.</w:t>
      </w:r>
    </w:p>
    <w:p>
      <w:r>
        <w:rPr>
          <w:b/>
        </w:rPr>
        <w:t>E. 3.3</w:t>
      </w:r>
    </w:p>
    <w:p>
      <w:r>
        <w:t>C'est en revanche à juste titre que l'appelante reproche au Tribunal de l'avoir condamnée à réparer le gain manqué de l'intimé du 1er octobre 2016 au 21 août 2018 à hauteur de 18'057 fr. 45.</w:t>
      </w:r>
    </w:p>
    <w:p>
      <w:r>
        <w:t>Ce gain manqué consiste dans la différence entre ce que l'intimé a perçu durant cette période et ce qu'il aurait gagné si les rapports de travail n'avaient pas pris fin et relève, partant, des conséquences économiques du licenciement que l'indemnité prévue par l'art. 336a al. CO a pour fonction de réparer. L'indemnité allouée à ce titre à l'intimé à raison de 26'325 fr. couvre la perte de gain subie à hauteur de 18'057 fr. 45 de sorte que le préjudice financier de l'intimé a été réparé. Contrairement à ce qu'a retenu le Tribunal, une telle perte de gain n'est pas consécutive à une atteinte à la personnalité de l'intimé distincte du licenciement abusif. L'intimé n'a, pour le surplus, pas démontré avoir subi un préjudice moral, une atteinte à sa réputation ou un autre dommage consécutif à une violation de l'appelante de son devoir de protéger la personnalité de son employé.</w:t>
      </w:r>
    </w:p>
    <w:p>
      <w:r>
        <w:t>Le ch. 3 du jugement querellé sera en conséquence annulé et l'intimé débouté des prétentions qu'il fait valoir à ce titre.</w:t>
      </w:r>
    </w:p>
    <w:p>
      <w:r>
        <w:rPr>
          <w:b/>
        </w:rPr>
        <w:t>E. 4</w:t>
      </w:r>
    </w:p>
    <w:p>
      <w:r>
        <w:t>L'appelante critique enfin la décision du Tribunal des prud'hommes en tant qu'il a retenu qu'il ne pouvait être exigé de l'intimé de prendre la totalité de son solde de vacances durant le délai de congé.</w:t>
      </w:r>
    </w:p>
    <w:p>
      <w:r>
        <w:rPr>
          <w:b/>
        </w:rPr>
        <w:t>E. 4.1</w:t>
      </w:r>
    </w:p>
    <w:p>
      <w:r>
        <w:t>L'employeur verse au travailleur le salaire total afférent aux vacances et une indemnité en compensation du salaire en nature (art. 329d al. 1 CO). Tant que durent les rapports de travail, les vacances ne peuvent pas être remplacées par des prestations en argent ou d'autres avantages (art. 329d al. 2 CO). En principe, l'interdiction de remplacer les vacances par des prestations en argent s'applique aussi après la résiliation des rapports de travail. Elle peut cependant être limitée dans des cas d'espèce pour tenir compte des circonstances concrètes. Des prestations en argent peuvent remplacer les vacances lorsque celles-ci ne peuvent être prises avant la fin des rapports de travail ou lorsqu'on ne peut exiger qu'elles le soient (ATF 128 III 271 consid. 4a/aa et les réf. citées ; arrêts du Tribunal fédéral 4A_117/2007 et 4A_127/2007 du 13 septembre 2007 consid. 6). Le point de savoir si le solde de vacances non prises doit être indemnisé en espèces doit être tranché de cas en cas, en se fondant sur le rapport entre la durée de la libération de l'obligation de travailler et le nombre de jours de vacances restant (ATF 128 III 271 consid. 4a/cc). Il faut en particulier que, durant cette période, le salarié congédié ait, en plus de ses vacances, suffisamment de temps à consacrer à la recherche d'un nouvel emploi (arrêt du Tribunal fédéral 4C.193/2005 du 30 septembre 2005 consid. 3.2).</w:t>
      </w:r>
    </w:p>
    <w:p>
      <w:r>
        <w:t>- 14/16 -</w:t>
      </w:r>
    </w:p>
    <w:p>
      <w:r>
        <w:t>C/6597/2017-4</w:t>
      </w:r>
    </w:p>
    <w:p>
      <w:r>
        <w:rPr>
          <w:b/>
        </w:rPr>
        <w:t>E. 4.2</w:t>
      </w:r>
    </w:p>
    <w:p>
      <w:r>
        <w:t>En l'espèce, l'intimé a été libéré de son obligation de travailler le 29 mars 2016 et les rapports de travail ont pris fin le 30 septembre 2016. Durant cette période, correspondant à 129 jours ouvrables, l'intimé était en incapacité de travailler du 13 juin au 17 juillet puis du 3 au 31 août 2016, soit durant 46 jours ouvrables. L'intimé disposait ainsi de 83 jours ouvrables, ce qui lui permettait de prendre ses 14 jours de vacances en nature pour se reposer tout en consacrant 69 jours à la recherche d'un emploi. Aucune indemnité ne lui est en conséquence due à ce titre.</w:t>
      </w:r>
    </w:p>
    <w:p>
      <w:r>
        <w:t>Partant, le chiffre 4 du dispositif du jugement sera également annulé.</w:t>
      </w:r>
    </w:p>
    <w:p>
      <w:r>
        <w:rPr>
          <w:b/>
        </w:rPr>
        <w:t>E. 5</w:t>
      </w:r>
    </w:p>
    <w:p>
      <w:r>
        <w:t>La procédure est gratuite (art. 71 RTFMC). * * * * *</w:t>
      </w:r>
    </w:p>
    <w:p>
      <w:r>
        <w:t>- 15/16 -</w:t>
      </w:r>
    </w:p>
    <w:p>
      <w:r>
        <w:t>C/6597/2017-4 PAR CES MOTIFS, La Chambre des prud'hommes, groupe 4 : A la forme : Déclare recevable l'appel formé par A______ Sàrl le 7 juin 2019 contre le jugement JTPH/171/2019 rendu le 9 mai 2019 par le Tribunal des prud'hommes dans la cause C/6597/2017. Au fond : Annule les chiffres 3 et 4 du jugement querellé. Confirme le jugement pour le surplus. Déboute les parties de toutes autres conclusions. Siégeant : Madame Ursula ZEHETBAUER GHAVAMI, présidente; Madame Nadia FAVRE, juge employeur; Madame Ana ROUX, juge salariée; Madame Chloé RAMAT, greffière.</w:t>
      </w:r>
    </w:p>
    <w:p>
      <w:r>
        <w:t>- 16/16 -</w:t>
      </w:r>
    </w:p>
    <w:p>
      <w:r>
        <w:t>C/6597/2017-4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