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CAPH/50/2016 vom 11. August 2015</w:t>
      </w:r>
    </w:p>
    <w:p>
      <w:r>
        <w:t>GE Cour de justice, 2015-08-11, FR</w:t>
      </w:r>
    </w:p>
    <w:p>
      <w:r>
        <w:rPr>
          <w:b/>
        </w:rPr>
        <w:t xml:space="preserve">Quelle: </w:t>
      </w:r>
      <w:r>
        <w:t>https://mcp.opencaselaw.ch/entscheid/ge_gerichte_CAPH_50_2016</w:t>
      </w:r>
    </w:p>
    <w:p>
      <w:r>
        <w:t>FR: GE_GERICHTE CAPH/50/2016 du 11 août 2015</w:t>
      </w:r>
    </w:p>
    <w:p>
      <w:r>
        <w:t>IT: GE_GERICHTE CAPH/50/2016 del 11 agosto 2015</w:t>
      </w:r>
    </w:p>
    <w:p>
      <w:pPr>
        <w:pStyle w:val="Heading2"/>
      </w:pPr>
      <w:r>
        <w:t>Erwägungen</w:t>
      </w:r>
    </w:p>
    <w:p>
      <w:r>
        <w:rPr>
          <w:b/>
        </w:rPr>
        <w:t>E. 1.1</w:t>
      </w:r>
    </w:p>
    <w:p>
      <w:r>
        <w:t>L'appel est recevable pour avoir été interjeté auprès de l'autorité compétente (art. 124 let. a LOJ), dans le délai utile de 30 jours (art. 145 al. 1 let. b et 311 al. 1 CPC) et selon la forme prescrite par la loi (art. 130, 131 et 311 CPC), à l'encontre d'une décision finale (art. 308 al. 1 let. a CPC) rendue dans une affaire patrimoniale dont la valeur litigieuse est, compte tenu de la quotité des prétentions contestées en première instance, supérieure à 10'000 fr. (art. 91 et 308 al. 2 CPC).</w:t>
      </w:r>
    </w:p>
    <w:p>
      <w:r>
        <w:rPr>
          <w:b/>
        </w:rPr>
        <w:t>E. 1.2</w:t>
      </w:r>
    </w:p>
    <w:p>
      <w:r>
        <w:t>Les conclusions "préalables" de l'intimée, qui n'a pas formé un appel joint, vont au-delà de la simple confirmation du jugement attaqué. Elles sont donc irrecevables (cf. art. 312 al. 1 et 313 al. 1 CPC). Les pièces nouvelles produites par l'intimée sont recevables, dès lors qu'elles ont été établies postérieurement à la date à laquelle la cause a été gardée à juger par le Tribunal (cf. art. 317 al. 1 CPC).</w:t>
      </w:r>
    </w:p>
    <w:p>
      <w:r>
        <w:rPr>
          <w:b/>
        </w:rPr>
        <w:t>E. 1.3</w:t>
      </w:r>
    </w:p>
    <w:p>
      <w:r>
        <w:t>La Chambre de céans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La valeur litigieuse étant supérieure à 30'000 fr., la présente procédure est soumise aux maximes des débats et de disposition (art. 55 CPC cum art. 247 al. 2 let. b ch. 2 CPC et art. 58 CPC). La procédure ordinaire est applicable (art. 219 et 243 CPC).</w:t>
      </w:r>
    </w:p>
    <w:p>
      <w:r>
        <w:rPr>
          <w:b/>
        </w:rPr>
        <w:t>E. 2</w:t>
      </w:r>
    </w:p>
    <w:p>
      <w:r>
        <w:t>En premier lieu, l'appelante fait grief au Tribunal d'avoir considéré que le contrat de durée indéterminée le liant à l'intimée avait pris fin le 31 décembre 2012 et que, postérieurement à cette date, les parties étaient liées par un contrat de durée</w:t>
      </w:r>
    </w:p>
    <w:p>
      <w:r>
        <w:t>- 10/19 -</w:t>
      </w:r>
    </w:p>
    <w:p>
      <w:r>
        <w:t>C/21300/2013-4 déterminée venant à échéance le 31 mars 2013. Elle soutient qu'elle a continué à travailler au-delà du 31 décembre 2012 sur la base du contrat de 1990 et que la lettre du 14 février 2013 constitue une lettre de résiliation. Elle reproche au Tribunal d'avoir retenu qu'elle ne pouvait prétendre ni au salaire des mois d'avril à juin 2013, ni à une indemnité en raison du caractère prétendument abusif du "deuxième congé".</w:t>
      </w:r>
    </w:p>
    <w:p>
      <w:r>
        <w:rPr>
          <w:b/>
        </w:rPr>
        <w:t>E. 2.1</w:t>
      </w:r>
    </w:p>
    <w:p>
      <w:r>
        <w:t>Un contrat de travail de durée indéterminée peut être résilié par chacune des parties pour la fin d'un mois moyennant un délai de congé d'un mois pendant la première année de service, de deux mois de la deuxième à la neuvième année de service, de trois mois ultérieurement (art. 335 al. 1 et 335c al. 1 CO). Ces délais peuvent être modifiés par accord écrit (art. 335c al. 2 CO). La résiliation du contrat est une manifestation de volonté unilatérale qui prend effet au moment où elle parvient à son destinataire (ATF 113 II 259 consid. 2a). Son auteur ne peut la retirer que conformément à l'art. 9 al. 1 CO. Cela suppose que le retrait parvienne au destinataire avant la résiliation; s'il ne lui parvient qu'après, il faut que le destinataire en prenne néanmoins connaissance avant; autrement, le retrait est inefficace (arrêts du Tribunal fédéral 4C.83/2007 du 7 juin 2007 consid. 4.2 et 4C.359/2006 du 12 janvier 2007 consid. 5). Les parties au contrat de travail conservent toutefois la possibilité de s'entendre sur la poursuite des rapports de travail, ce qui équivaut à un accord sur le retrait de la déclaration de résiliation (arrêt du Tribunal fédéral 4C.359/2006 du 12 janvier 2007 consid. 5; CARRUZZO, Le contrat individuel de travail, Commentaire des art. 319 à 341 du Code des obligations, 2009, n. 1 ad. art. 335 CO, p. 472; WYLER/HEINZER, Droit du travail, 3ème éd., 2014, pp. 503-504). Il appartient à la partie qui allègue l'existence d'un tel accord de le prouver (art. 8 CC).</w:t>
      </w:r>
    </w:p>
    <w:p>
      <w:r>
        <w:rPr>
          <w:b/>
        </w:rPr>
        <w:t>E. 2.2</w:t>
      </w:r>
    </w:p>
    <w:p>
      <w:r>
        <w:t>Pour déterminer le contenu d'un accord entre les parties, il y a lieu de rechercher, tout d'abord, leur réelle et commune intention, sans s'arrêter aux expressions ou dénominations inexactes dont elles ont pu se servir, soit par erreur, soit pour déguiser la nature véritable de la convention (art. 18 al. 1 CO; ATF 135 II 410 consid. 3.2). Déterminer ce qu'un cocontractant savait ou voulait au moment de conclure relève des constatations de fait; la recherche de la volonté réelle des parties est qualifiée d'interprétation subjective (ATF 131 III 606 consid. 4.1). Au stade de l'interprétation subjective, le juge peut prendre en considération le comportement ultérieur des parties dans la mesure où il permet d'éclairer leur volonté réelle au moment de conclure (ATF 129 III 675 consid. 2.3; 107 II 417 consid. 6). Ce n'est que si la volonté réelle des parties ne peut pas être établie ou s'il apparaît que leurs volontés intimes divergent que le juge procédera à une interprétation dite objective. Cette dernière revêt donc un caractère subsidiaire (ATF 131 III 467 consid. 1.1; 131 V 27 consid. 2.2).</w:t>
      </w:r>
    </w:p>
    <w:p>
      <w:r>
        <w:t>- 11/19 -</w:t>
      </w:r>
    </w:p>
    <w:p>
      <w:r>
        <w:t>C/21300/2013-4</w:t>
      </w:r>
    </w:p>
    <w:p>
      <w:r>
        <w:rPr>
          <w:b/>
        </w:rPr>
        <w:t>E. 2.3</w:t>
      </w:r>
    </w:p>
    <w:p>
      <w:r>
        <w:t>En l'espèce, la résiliation du 3 août 2012, qui respectait le délai de congé contractuel, est parvenue à l'appelante et n'a pas été retirée par l'intimée. Les parties ne se sont pas accordées sur le retrait de la déclaration de résiliation. Le</w:t>
      </w:r>
    </w:p>
    <w:p>
      <w:r>
        <w:rPr>
          <w:b/>
        </w:rPr>
        <w:t>E. 3</w:t>
      </w:r>
    </w:p>
    <w:p>
      <w:r>
        <w:t>L'appelante fait grief au Tribunal d'avoir considéré qu'elle n'avait pas établi avoir fait l'objet d'un harcèlement psychologique de la part de l'intimée.</w:t>
      </w:r>
    </w:p>
    <w:p>
      <w:r>
        <w:rPr>
          <w:b/>
        </w:rPr>
        <w:t>E. 3.1</w:t>
      </w:r>
    </w:p>
    <w:p>
      <w:r>
        <w:t>En vertu de l'art. 328 al. 1 CO, l'employeur doit protéger et respecter, dans les rapports de travail, la personnalité du travailleur; il doit manifester les égards voulus pour sa santé. Le harcèlement psychologique, ou mobbing, contrevient à cette obligation. La jurisprudence le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Il n'y a pas de harcèlement psychologique du seul fait qu'un conflit existe dans les relations professionnelles, qu'il règne une mauvaise ambiance de travail, ou</w:t>
      </w:r>
    </w:p>
    <w:p>
      <w:r>
        <w:t>- 12/19 -</w:t>
      </w:r>
    </w:p>
    <w:p>
      <w:r>
        <w:t>C/21300/2013-4 encore du simple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tout en gardant à l'esprit qu'il peut être purement imaginaire, voire être allégué abusivement pour tenter de se protéger contre des remarques et mesures pourtant justifiées (arrêts du Tribunal fédéral 4A_680/2012 du 7 mars 2013 consid. 5.2; 4C.343/2003 du 13 octobre 2004 consid. 3.1, in JAR 2005 p. 285). La décision qui retient ou exclut un tel harcèlement présuppose une appréciation globale des circonstances d'espèce; la jurisprudence reconnaît au juge du fait une certaine marge d'appréciation en la matière (arrêts du Tribunal fédéral 4A_32/2010 du 17 mai 2010 consid. 3.3.4; 4A_245/2009 du 6 avril 2010 consid. 4.3.3). En cas de violation de l'art. 328 al. 1 CO, l'employé peut prétendre à une indemnité pour tort moral aux conditions de l'art. 49 al. 1 CO (arrêt du Tribunal fédéral 4A_665/2010 du 1er mars 2011 consid. 6.1; cf. ATF 129 III 715 consid. 4.4 et 120 II 97 consid. 2a et b).</w:t>
      </w:r>
    </w:p>
    <w:p>
      <w:r>
        <w:rPr>
          <w:b/>
        </w:rPr>
        <w:t>E. 3.2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arrêt 5A_250/2012 du 18 mai 2012 consid. 7.4.1). Il n'y a pas de hiérarchie légale entre les moyens de preuves autorisés. Les moyens de preuve autorisés sont énoncés à l'art. 168 CPC. Cette norme prévoit entre autres l'interrogatoire des parties (art. 191 CPC) et le jugement peut donc pleinement se fonder sur celui-ci (arrêts du Tribunal fédéral 5A_113/2015 du 3 juillet 2015 consid. 3.2; 4A_498/2014 du 3 février 2015 consid. 3.3). Les déclarations que les parties font aux stades successifs du procès n'ont pas la même portée. Celles faites dans la phase consacrée aux allégués (art. 55) - débats d'instruction (art. 226), premières plaidoiries en procédure ordinaire (art. 228) notamment - n'ont pas valeur de preuves, mais participent de l'établissement des faits en distinguant ce qui est contesté de ce qui ne l'est pas. Au stade probatoire toutefois (ouvert par ordonnance de preuves), les déclarations des parties peuvent constituer un moyen de preuve. L'interrogatoire des parties (art. 191 CPC) est la forme simple et modérée. Les parties sont tenues de répondre conformément à la vérité, mais les dépositions qui lui sont contraires ne sont passibles de sanctions disciplinaires qu'en cas de mensonge délibéré. Chaque partie peut demander à être interrogée. De telles dépositions n'ont, en raison de la partialité de leur auteur, qu'une faible force probante, et doivent être corroborées par un autre moyen de preuve (Message relatif au code de procédure civile suisse du 28 juin 2006, FF 2006 6841, p. 6934).</w:t>
      </w:r>
    </w:p>
    <w:p>
      <w:r>
        <w:rPr>
          <w:b/>
        </w:rPr>
        <w:t>E. 3.3</w:t>
      </w:r>
    </w:p>
    <w:p>
      <w:r>
        <w:t>En l'espèce, aucun élément du dossier ne permet de retenir que l'appelante aurait fait l'objet de propos et/ou d'agissements hostiles de la part de son supérieur</w:t>
      </w:r>
    </w:p>
    <w:p>
      <w:r>
        <w:t>- 13/19 -</w:t>
      </w:r>
    </w:p>
    <w:p>
      <w:r>
        <w:t>C/21300/2013-4 hiérarchique ou de ses collègues. A cet égard, les déclarations de l'appelante - qu'elles soient considérées comme de simples allégations ou comme un moyen de preuve (ce qui semble douteux dans la mesure où l'appelante n'a pas été exhortée à répondre conformément à la vérité et n'a pas été rendue attentive aux conséquences mentionnées à l'art. 191 al. 2 CPC) - ne sont corroborées par aucun autre moyen de preuve. Au contraire, il résulte des témoignages recueillis par le Tribunal que l'appelante entretenait de bonnes relations, empreintes de confiance, de cordialité et de respect, avec son supérieur hiérarchique et avec sa collègue responsable de secteur. Les témoins entendus n'ont pas constaté d'animosité ou des conflits entre eux, ni le moindre dénigrement à l'encontre de l'appelante. Le diagnostic posé en juin 2012 par le témoin J______, qui n'a d'ailleurs pas pu être précise à ce sujet lors de sa déposition, était fondé uniquement sur les propos de l'appelante et ne saurait ainsi suffire à établir l'existence d'un mobbing au sens de la définition rappelée ci-dessus. Enfin, le fait d'avoir invité l'appelante à communiquer ses horaires lors de la reprise à temps partiel, puis d'avoir confié à celle-ci la responsabilité d'un secteur moins important vu son incapacité de travail (totale et partielle) de longue durée, n'est pas constitutif d'un harcèlement psychologique, même si l'employée a mal pris ces deux mesures. En définitive, c'est à bon droit que le Tribunal a rejeté la prétention de l'appelante en paiement d'une indemnité pour harcèlement psychologique. Le jugement attaqué sera confirmé sur ce point également.</w:t>
      </w:r>
    </w:p>
    <w:p>
      <w:r>
        <w:rPr>
          <w:b/>
        </w:rPr>
        <w:t>E. 4</w:t>
      </w:r>
    </w:p>
    <w:p>
      <w:r>
        <w:t>Dans un autre moyen, l'appelante reproche au Tribunal d'avoir considéré qu'elle n'avait pas droit au "salaire variable" pour les années 2011 et 2012. Elle estime que la "part variable" dont elle a bénéficié pendant des années doit être considérée comme faisant partie intégrante de son salaire et qu'elle devait ainsi toucher à ce titre 40'000 fr. pour 2011 (dont à déduire les 10'000 fr. versés en mars 2012) et 40'000 fr. pour 2012.</w:t>
      </w:r>
    </w:p>
    <w:p>
      <w:r>
        <w:rPr>
          <w:b/>
        </w:rPr>
        <w:t>E. 4.1</w:t>
      </w:r>
    </w:p>
    <w:p>
      <w:r>
        <w:t>Le droit suisse ne contient aucune disposition qui définisse et traite de façon spécifique du bonus. Déterminer s'il s'agit d'un élément du salaire (art. 322 s. CO) ou d'une gratification (art. 322d CO) revêt une grande importance, dès lors que le régime de la gratification est beaucoup plus flexible pour l'employeur que celui applicable aux éléments du salaire. Si le bonus est déterminé ou objectivement déterminable (ce qui est le cas lorsque la rémunération ne dépend plus de l'appréciation de l'employeur), l'employé dispose d'une prétention à ce bonus. Dans cette hypothèse, l'employeur doit tenir son engagement consistant à verser à l'employé la rémunération convenue (élément essentiel du contrat de travail) et le bonus doit être considéré comme un élément (variable) du salaire. Si le bonus n'est pas déterminé ou objectivement déterminable, l'employé ne dispose en règle générale d'aucune prétention : la rémunération dépend du bon vouloir de l'employeur et le bonus est qualifié de gratification. Tel est le cas lorsque la quotité du bonus n'est pas fixée à l'avance, mais dépend pour l'essentiel de la marge de manœuvre de l'employeur. Dans cette dernière hypothèse, soit lorsque le</w:t>
      </w:r>
    </w:p>
    <w:p>
      <w:r>
        <w:t>- 14/19 -</w:t>
      </w:r>
    </w:p>
    <w:p>
      <w:r>
        <w:t>C/21300/2013-4 bonus n'est pas déterminé ou objectivement déterminable, la jurisprudence a opéré des distinctions en fonction de l'importance du revenu de l'employé (par quoi il faut entendre la rémunération totale perçue de l'employeur durant l'année). En cas de revenus moyens et supérieurs, le Tribunal fédéral a estimé qu'un bonus très élevé en comparaison du salaire annuel, équivalent ou même supérieur à ce dernier, et versé régulièrement, doit être, par exception, considéré comme un salaire variable même si l'employeur en réservait le caractère facultatif. La gratification (art. 322d CO) doit en effet rester accessoire par rapport au salaire (art. 322 s. CO); elle ne peut avoir qu'une importance secondaire dans la rétribution du travailleur. En cas de revenus modestes, un bonus proportionnellement moins élevé peut déjà avoir le caractère d'un salaire variable. En revanche, lorsque l'employé perçoit un très haut revenu, soit cinq fois le salaire médian suisse (secteur privé), il n'y a pas lieu d'admettre une exception : le bonus reste toujours une gratification (ATF 141 III 407 consid. 4.1, 4.2.1, 4.2.2, 4.3, 4.3.1, 4.3.2 et 5.4 et les références citées). C'est la rémunération effectivement reçue au cours de l'année, soit le salaire de base de l'année et le bonus versé durant la même année sur la base des données de l'année précédente, qui est déterminante pour décider s'il y a lieu de requalifier le bonus de salaire sur la base du critère de l'accessoriété (ATF 141 III 407 consid. 5.3.1).</w:t>
      </w:r>
    </w:p>
    <w:p>
      <w:r>
        <w:rPr>
          <w:b/>
        </w:rPr>
        <w:t>E. 4.2</w:t>
      </w:r>
    </w:p>
    <w:p>
      <w:r>
        <w:t>Concrètement, le Tribunal fédéral a admis le caractère accessoire de montants versés à titre de gratification qui correspondent au quart d'un salaire annuel de 100'000 fr., la gratification étant dans ce cas qualifiée de modeste. De même, il a qualifié de secondaires des dotations constituant 16% de l'ensemble des prestations pécuniaires fournies par l'employeur, lesquelles s'élevaient en moyenne à plus de 415'000 fr. par année. Dans le même sens, il a confirmé que des bonus représentant moins de 15% d'un salaire annuel de 123'500 fr. présentaient un caractère accessoire. Il a également estimé que des bonus d'en moyenne 13'232 fr. respectaient l'exigence d'accessoriété par rapport à un salaire annuel de 36'000 fr. Enfin, il a admis le caractère discrétionnaire de bonus qui s'étaient élevés en moyenne à 298'750 fr., en rapport avec un salaire annuel brut de 300'000 fr. et de bonus qui s'étaient élevés en moyenne à 44% de salaires annuels qui avaient augmenté au fil des ans de 200'000 fr. à 300'000 fr. Inversement, pour une rémunération annuelle de l'ordre de 112'000 fr., le Tribunal fédéral a jugé qu'un bonus correspondant à plus du double du salaire annuel perdait son caractère accessoire. De même, il a considéré qu'en regard d'un salaire de base ayant progressé de 150'000 fr. à 263'000 fr., des primes ayant évolué de 275'000 fr. à 1'792'000 fr. ne pouvaient être considérées comme accessoires. Enfin, il a estimé qu'il en allait de même de bonus de 40% d'un salaire de 100'000 fr. (WYLER/HEINZER, op. cit., pp.162-163 et les références jurisprudentielles citées).</w:t>
      </w:r>
    </w:p>
    <w:p>
      <w:r>
        <w:rPr>
          <w:b/>
        </w:rPr>
        <w:t>E. 4.3</w:t>
      </w:r>
    </w:p>
    <w:p>
      <w:r>
        <w:t>En l'espèce, il est admis que la "rémunération variable ni garantie ni contractuelle" prévue par le statut du personnel de l'intimée constitue un bonus,</w:t>
      </w:r>
    </w:p>
    <w:p>
      <w:r>
        <w:t>- 15/19 -</w:t>
      </w:r>
    </w:p>
    <w:p>
      <w:r>
        <w:t>C/21300/2013-4 qui n'est ni déterminé ni objectivement déterminable et qui dépend ainsi du bon vouloir de l'employeur. Il n'est pas contesté que l'intimée a réservé le caractère facultatif du bonus lors de chaque versement. L'appelante soutient cependant que les bonus qu'elle a perçus de 2007 à 2011 n'étaient pas accessoires par rapport à son salaire annuel et qu'ainsi le bonus doit être considéré comme un élément du salaire, dû intégralement pour 2011 et 2012. Le revenu de l'appelante peut être qualifié de moyen à supérieur. Sur la base d'une comparaison entre le salaire de base de l'année, frais de représentation compris, et le bonus versé durant la même année sur la base des données de l'année précédente, il apparaît que les bonus versés à l'appelante entre 2007 et 2011 représentent les pourcentages suivants : 25% pour 2007 (37'000 fr/147'480 fr.), 25% pour 2008 (38'361 fr./150'698 fr.), 26.8% pour 2009 (42'000 fr./156'353 fr.), 30.6% pour 2010 (48'000 fr/156'840 fr.) et 27.8% pour 2011 (45'000 fr./161'715 fr.). Selon la casuistique rappelée ci-dessus, ces pourcentages respectent le critère de l'accessoriété, de sorte qu'il n'y a pas lieu de requalifier le bonus de salaire. Il résulte de ce qui précède, que l'intimée était légitimé à réduire, voire supprimer, selon son bon vouloir le bonus de l'appelante au motif qu'elle avait été totalement ou partiellement absente de février à décembre 2011 et de janvier à décembre 2012. Contrairement à ce que soutient l'appelante, le fait que celle-ci a perçu annuellement un bonus pendant cinq ans ne permet pas de conclure à la passation d'un accord tacite entraînant l'obligation de verser une gratification, dans la mesure où l'intimée a empêché la naissance d'un droit au paiement de la gratification en en assortissant le versement d'une réserve, renouvelée chaque année, à teneur de laquelle celui-ci était effectué sur une base facultative (cf. arrêt du Tribunal fédéral 4A_26/2012 du 15 mai 2012 consid. 5.2.1). Dès lors, la prétention de l'appelante en paiement de 30'000 fr. pour 2011 et 40'000 fr. pour 2012, à titre de rémunération variable, est infondée. Le jugement attaqué sera confirmé sur ce point.</w:t>
      </w:r>
    </w:p>
    <w:p>
      <w:r>
        <w:rPr>
          <w:b/>
        </w:rPr>
        <w:t>E. 5</w:t>
      </w:r>
    </w:p>
    <w:p>
      <w:r>
        <w:t>L'appelante fait grief au Tribunal de lui avoir refusé le droit à une indemnité pour licenciement économique. Elle soutient que son licenciement est de nature essentiellement économique et que les motifs inhérents à sa personne, invoqués par l'intimée, n'ont pas été déterminants dans la décision de la licencier. L'intimée fait valoir qu'après deux années d'absences totales ou partielles, mais continues, de l'employée, et à défaut de toute perspective de reprise stable, elle a décidé de renoncer aux services de celle-ci pour faire face au travail à effectuer.</w:t>
      </w:r>
    </w:p>
    <w:p>
      <w:r>
        <w:rPr>
          <w:b/>
        </w:rPr>
        <w:t>E. 5.1</w:t>
      </w:r>
    </w:p>
    <w:p>
      <w:r>
        <w:t>L'employeur est libre de déterminer ou de convenir, selon les circonstances, des critères d'inclusion ou d'exclusion de certaines catégories de travailleurs dans le traitement collectif (par exemple pour l'octroi d'une indemnité de licenciement), pour autant que ces critères soient reconnaissables, qu'ils ne soient pas arbitraires, ne violent pas le respect de la personnalité et ne soient pas illicites. Au regard du</w:t>
      </w:r>
    </w:p>
    <w:p>
      <w:r>
        <w:t>- 16/19 -</w:t>
      </w:r>
    </w:p>
    <w:p>
      <w:r>
        <w:t>C/21300/2013-4 principe de la confiance, si les critères de sélection de l'employeur ne sont pas clairement reconnaissables par les employés, le doute doit profiter à ces derniers. L'employeur qui traite d'une situation collective doit donc clairement déterminer et communiquer aux travailleurs les critères d'attribution ou de réduction des prestations en cause (arrêt du Tribunal fédéral 4A_63/2007 du 6 juillet 2007 consid. 4.2).</w:t>
      </w:r>
    </w:p>
    <w:p>
      <w:r>
        <w:rPr>
          <w:b/>
        </w:rPr>
        <w:t>E. 5.2</w:t>
      </w:r>
    </w:p>
    <w:p>
      <w:r>
        <w:t>Les motifs économiques de licenciement se définissent comme des motifs non inhérents à la personne du salarié, c'est-à-dire des raisons liées à la situation économique de l'entreprise, comme sa fermeture totale ou partielle, sa restructuration ou sa rationalisation, qui rendent nécessaires la suppression ou la modification de postes de travail. Ils se distinguent des motifs inhérents à la personne de l'employé (CAPH/46/2007 du 14 mars 2007 consid. 3.3.3, in JAR 2008 p. 390 et les références citées).</w:t>
      </w:r>
    </w:p>
    <w:p>
      <w:r>
        <w:rPr>
          <w:b/>
        </w:rPr>
        <w:t>E. 5.3</w:t>
      </w:r>
    </w:p>
    <w:p>
      <w:r>
        <w:t>En l'espèce, il est admis qu'au sein de l'intimée, une indemnité de départ était versée en cas de licenciement économique (sur la base d'un "Tableau des indemnités de licenciement économique"), à savoir notamment en cas de suppression de poste suite à une baisse d'activité ou à une restructuration. Ladite indemnité n'était pas garantie en cas de licenciement pour d'autres motifs, en particulier des motifs inhérents à la personne du collaborateur. L'appelante ne soutient pas, à juste titre, qu'il faudrait donner un sens particulier à la notion de "licenciement économique" utilisée au sein de l'intimée. Il faut donc interpréter ces termes selon la théorie de la confiance, c'est-à-dire en tenant compte de la définition reprise ci-dessus (cf. arrêt du Tribunal fédéral 4A_555/2011 du 23 février 2012 consid. 2.3.3). Contrairement à ce que soutient l'appelante, son poste n'a pas été supprimé. Aucun élément du dossier ne permet de mettre en doute la réalité des motifs de congé invoqués par l'intimée. En effet, l'appelante a vécu d'importantes difficultés conjugales, qui ont eu une incidence sur sa prestation de travail, puis a été absente pour cause de maladie, partiellement ou totalement, de manière continue, de février 2011 à février 2013. L'intimée était légitimée à lui donner son congé, après la fin de la période de protection de l'art. 336c CO, pour des raisons d'organisation du service. Comme l'a retenu le Tribunal, dans la mesure où elle n'a pas fait l'objet d'un licenciement économique, l'appelante ne peut prétendre au versement d'une indemnité de départ. Le jugement attaqué sera confirmé sur ce point.</w:t>
      </w:r>
    </w:p>
    <w:p>
      <w:r>
        <w:rPr>
          <w:b/>
        </w:rPr>
        <w:t>E. 6</w:t>
      </w:r>
    </w:p>
    <w:p>
      <w:r>
        <w:t>Enfin, l'appelante reproche au Tribunal de ne pas avoir ordonné à l'intimée de procéder à toutes les modifications du certificat de travail qu'elle sollicitait. Elle demande que celui-ci indique le 30 juin 2013 comme date de la fin des rapports de travail et mentionne qu'elle a entretenu "les relations les meilleures avec ses collègues et supérieurs hiérarchiques" et que son travail et son comportement ont toujours donné "pleine et entière satisfaction à l'employeur".</w:t>
      </w:r>
    </w:p>
    <w:p>
      <w:r>
        <w:t>- 17/19 -</w:t>
      </w:r>
    </w:p>
    <w:p>
      <w:r>
        <w:t>C/21300/2013-4</w:t>
      </w:r>
    </w:p>
    <w:p>
      <w:r>
        <w:rPr>
          <w:b/>
        </w:rPr>
        <w:t>E. 6.1</w:t>
      </w:r>
    </w:p>
    <w:p>
      <w:r>
        <w:t>Selon la jurisprudence, le certificat de travail qualifié doit être conforme à la réalité et complet. Il doit ainsi s'exprimer sur tous les points visés par l'art. 330a CO, soit sur la nature et la durée des rapports de travail, ainsi que sur la qualité du travail et la conduite du travailleur (ATF 129 III 177 consid. 3.2; arrêt du Tribunal fédéral 4A_455/2007 du 12 février 2008 consid. 4.2.2). L'employeur a en principe le choix de la formulation du certificat de travail (arrêt du Tribunal fédéral 4A_117/2007 du 13 septembre 2007 consid. 7.1) et il lui est loisible d'adopter un style concis plutôt qu'emphatique. Littéralement, il n'existe pas de différence de signification notable entre «notre satisfaction» et «notre entière satisfaction» (arrêt du Tribunal fédéral 4A_137/2014 du 10 juin 2014 consid. 4).</w:t>
      </w:r>
    </w:p>
    <w:p>
      <w:r>
        <w:rPr>
          <w:b/>
        </w:rPr>
        <w:t>E. 6.2</w:t>
      </w:r>
    </w:p>
    <w:p>
      <w:r>
        <w:t>En l'espèce, les relations de travail entre les parties ont pris fin le 31 mars 2013. C'est ainsi à juste titre que le Tribunal a condamné l'intimée à indiquer que la fin des relations contractuelles est intervenue à cette date et non pas le 30 juin 2013. Par ailleurs, si un témoin a déclaré que jusqu'en juillet 2011, l'appelante entretenait de bonnes relations avec son supérieur hiérarchique et avec sa collègue responsable de secteur, l'employée n'a pas établi qu'elle a entretenu jusqu'en février 2013 "les relations les meilleures avec ses collègues et supérieurs hiérarchiques". Elle n'a pas démontré non plus que son comportement a donné "pleine et entière satisfaction" à son employeur jusqu'à la fin des relations contractuelles. Enfin, en application de la jurisprudence rappelée ci-dessus, il n'y a pas de différence entre la mention, relative à la qualité du travail, "entière satisfaction", figurant dans le certificat de travail remis à l'appelante le 19 mars 2013, et la mention "pleine et entière satisfaction" que l'employée voudrait voir figurer dans son certificat de travail. L'appelante ne saurait tirer argument de la teneur du projet de certificat intermédiaire daté du 30 septembre 2011, qui avait été rédigé à sa demande par l'une de ses collègues et qui n'a pas été signé par l'intimée. Le jugement sera confirmé également en tant qu'il rejette les prétentions de l'appelante en relation avec le contenu du certificat de travail.</w:t>
      </w:r>
    </w:p>
    <w:p>
      <w:r>
        <w:rPr>
          <w:b/>
        </w:rPr>
        <w:t>E. 7</w:t>
      </w:r>
    </w:p>
    <w:p>
      <w:r>
        <w:t>Les frais judiciaires sont fixés et répartis d'office (art. 105 al. 1 CPC). En l'espèce, ils seront mis à la charge de l'appelante, qui succombe intégralement (art. 106 al. 1 CPC)</w:t>
      </w:r>
    </w:p>
    <w:p>
      <w:r>
        <w:t>Des frais de justice compris entre 200 fr. et 10'000 fr. sont perçus dans les causes soumises à la juridiction des prud'hommes, lorsque la valeur litigieuse excède 75'000 fr. devant le Tribunal des prud'hommes et 50'000 fr. devant la Chambre des prud'hommes de la Cour de justice (art. 114 let. c et 116 CPC; art. 19 al. 3 let. c LaCC).</w:t>
      </w:r>
    </w:p>
    <w:p>
      <w:r>
        <w:t>- 18/19 -</w:t>
      </w:r>
    </w:p>
    <w:p>
      <w:r>
        <w:t>C/21300/2013-4 Les frais d'appel seront arrêtés en l'espèce à 4'000 fr. (art. 71 RTFMC), compensés avec l'avance versée par l'appelante, qui reste acquise à l'Etat de Genève. Par ailleurs, s'agissant d'une cause soumise à la juridiction prud'homale, il n'est alloué ni dépens ni indemnité pour couvrir les frais de représentation (art. 22 al. 2 LaCC). L'intimée ne conclut d'ailleurs pas à l'allocation de dépens. * * * * *</w:t>
      </w:r>
    </w:p>
    <w:p>
      <w:r>
        <w:t>- 19/19 -</w:t>
      </w:r>
    </w:p>
    <w:p>
      <w:r>
        <w:t>C/21300/2013-4 PAR CES MOTIFS, La Chambre des prud'hommes, groupe 4 : A la forme : Déclare recevable l'appel interjeté le 14 septembre 2015 par A______ contre le jugement JTPH/352/2015 rendu le 11 août 2015 par le Tribunal des prud'hommes dans la cause C/21300/2013-4. Au fond : Confirme le jugement attaqué. Déboute les parties de toutes autres conclusions. Sur les frais : Arrête les frais judiciaires d'appel à 4'000 fr., les met à la charge de A______ et les compense avec l'avance fournie, qui reste acquise à l'Etat de Genève. Siégeant : Monsieur Ivo BUETTI, président; Madame Nadia FAVRE, juge employeur, Madame Christiane VERGARA-PIZZETTA, juge salariée; Madame Véronique BULUNDWE-LÉVY, greffière.</w:t>
      </w:r>
    </w:p>
    <w:p>
      <w:r>
        <w:t>Le président : Ivo BUETTI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