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CAPH/47/2017 vom 20. Juni 2016</w:t>
      </w:r>
    </w:p>
    <w:p>
      <w:r>
        <w:t>GE Cour de justice, 2016-06-20, FR</w:t>
      </w:r>
    </w:p>
    <w:p>
      <w:r>
        <w:rPr>
          <w:b/>
        </w:rPr>
        <w:t xml:space="preserve">Quelle: </w:t>
      </w:r>
      <w:r>
        <w:t>https://mcp.opencaselaw.ch/entscheid/ge_gerichte_CAPH_47_2017</w:t>
      </w:r>
    </w:p>
    <w:p>
      <w:r>
        <w:t>FR: GE_GERICHTE CAPH/47/2017 du 20 juin 2016</w:t>
      </w:r>
    </w:p>
    <w:p>
      <w:r>
        <w:t>IT: GE_GERICHTE CAPH/47/2017 del 20 giugno 2016</w:t>
      </w:r>
    </w:p>
    <w:p>
      <w:pPr>
        <w:pStyle w:val="Heading2"/>
      </w:pPr>
      <w:r>
        <w:t>Erwägungen</w:t>
      </w:r>
    </w:p>
    <w:p>
      <w:r>
        <w:rPr>
          <w:b/>
        </w:rPr>
        <w:t>E. 1.1</w:t>
      </w:r>
    </w:p>
    <w:p>
      <w:r>
        <w:t>Le jugement attaqué est une décision finale de première instance (art. 308 al. 1 let. a CPC; art. 236 al. 1 CPC). La valeur litigieuse étant supérieure à 10'000 fr., la voie de l'appel est ouverte (art. 308 al. 2 CPC). Interjeté dans le délai utile et selon la forme prescrite par la loi (art. 130, 131, 142, 145 al. 1 let. b et 311 al. 1 CPC), l'appel est recevable.</w:t>
      </w:r>
    </w:p>
    <w:p>
      <w:r>
        <w:rPr>
          <w:b/>
        </w:rPr>
        <w:t>E. 1.2</w:t>
      </w:r>
    </w:p>
    <w:p>
      <w:r>
        <w:t>La Cour revoit la cause avec un plein pouvoir d'examen (art. 310 CPC). Elle applique en outre la maxime des débats et le principe de disposition (art. 55 al. 1 et 58 al. 1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notoires n'ont pas à être allégués ni à être prouvés (art. 151 CPC).</w:t>
      </w:r>
    </w:p>
    <w:p>
      <w:r>
        <w:t>- 11/14 -</w:t>
      </w:r>
    </w:p>
    <w:p>
      <w:r>
        <w:t>C/13821/2015-3</w:t>
      </w:r>
    </w:p>
    <w:p>
      <w:r>
        <w:rPr>
          <w:b/>
        </w:rPr>
        <w:t>E. 2.2</w:t>
      </w:r>
    </w:p>
    <w:p>
      <w:r>
        <w:t>En l'espèce, l'appelant a produit un extrait d'un site internet de convertisseur de devises avec état au 29 juin 2014. La contrevaleur de dollars en francs suisses étant un fait notoire, ce moyen de preuve sera déclaré recevable, ce qui n'est au demeurant pas contesté.</w:t>
      </w:r>
    </w:p>
    <w:p>
      <w:r>
        <w:rPr>
          <w:b/>
        </w:rPr>
        <w:t>E. 3</w:t>
      </w:r>
    </w:p>
    <w:p>
      <w:r>
        <w:t>L'appelant considère que l'intimée dispose de la légitimation passive. 3.1.1 Le défaut de légitimation passive est un moyen de fond et non une exception de procédure. Un tel moyen a le caractère d'une objection. Il doit être examiné d'office à la lumière des règles de droit matériel et non des règles de procédure (ATF 126 III 59 consid. 1a). En principe, seule est légitimée comme partie au procès celle qui est personnellement titulaire d'un droit ou contre laquelle personnellement un droit est exercé. Le défaut de légitimation active (ou passive) entraîne le rejet de l'action et non son irrecevabilité (ATF 130 III 417 consid. 3.1, SJ 2004 I 533; ATF 126 III 59 consid. 1a). Il appartient au demandeur de prouver les faits dont il entend déduire un droit, en particulier que le défendeur est son débiteur en vertu d'une cause (KUMMER, Berner Kommentar, Einleitung, 1962, n. 147 ad. art. 8 CC). 3.1.2 La promesse faite à un débiteur de reprendre sa dette oblige le reprenant à le libérer soit en payant le créancier, soit en se chargeant de la dette du consentement de celui-ci (art. 175 al. 1 CO). Le remplacement de l'ancien débiteur et sa libération s'opèrent par un contrat entre le reprenant et le créancier (art. 176 al. 1 CO). L'offre de conclure ce contrat peut résulter de la communication faite au créancier par le reprenant ou, avec l'autorisation de celui-ci, par l'ancien débiteur, de la convention intervenue entre eux (art. 176 al. 2 CO). 3.1.3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w:t>
      </w:r>
    </w:p>
    <w:p>
      <w:r>
        <w:t>- 12/14 -</w:t>
      </w:r>
    </w:p>
    <w:p>
      <w:r>
        <w:t>C/13821/2015-3 consid. 2.3.2; 129 III 702 consid. 2.4). Cette interprétation objective s'effectue non seulement d'après le texte et le contexte des déclarations, mais également au vu des circonstances qui les ont précédées et accompagnées, à l'exclusion des événements postérieurs (ATF 135 III 295 consid. 5.2; 132 III 626 consid. 3.1; arrêts du Tribunal fédéral 4A_116/2014 du 17 juillet 2014 consid. 5.1; 4A_219/2012 du 30 juillet 2012 consid. 2.5). 3.1.4 Si un employé souscrit les documents topiques d'un plan d'intéressement de la société-mère, le Tribunal fédéral a retenu que celui-ci accepte d'entrer à ce sujet dans une relation juridique directe avec la société-mère et que, partant, la société- fille n'a pas la qualité pour défendre (arrêt du Tribunal fédéral 4A_175/2014 du</w:t>
      </w:r>
    </w:p>
    <w:p>
      <w:r>
        <w:rPr>
          <w:b/>
        </w:rPr>
        <w:t>E. 3.2</w:t>
      </w:r>
    </w:p>
    <w:p>
      <w:r>
        <w:t>En l'espèce, le litige porte sur l'annulation par D______ des RSU auxquelles l'appelant prétend avoir droit. Il n'est pas contesté par les parties que les RSU étaient octroyées par ladite société et non par l'intimée. Par convention de résiliation, l'appelant et l'intimée se sont accordés sur "tous les termes et conditions liés à la résiliation du contrat de travail". Selon le préambule de ladite convention, l'appelant a ainsi renoncé, "de manière définitive et irrévocable, à tout droit qu'il aurait contre [l'intimée], y compris D______". L'art. 4.1 de ladite convention prévoit par ailleurs que "les termes et conditions du CPO [Cash Performance Shares; Actions de Rendement des Liquidités] et du programme américain de stock-options en cas de "RIF" sont pleinement applicables à toutes les parts octroyées à l'Employé dans le cadre de ce programme incitatif". L'intimée n'a ainsi pas entendu modifier ni reprendre à son compte le règlement de l'octroi des RSU. Par ailleurs, l'appelant était un cadre au sein de l'intimée et connaissait dès lors la structure de la société. Il ressort dès lors de la convention de résiliation que celle-ci n'a pas repris les éventuelles dettes que D______ auraient vis-à-vis de l'appelant au titre de RSU non accordées. Partant, seule D______ peut décider de l'octroi des RSU. L'appelant a du reste eu des échanges avec D______ pour le versement de ses RSU et n'a alors pas opposé le fait que l'intimée aurait dû être son interlocutrice. Contrairement à la position de l'appelant, le cas d'espèce est par ailleurs comparable à celui de l'arrêt du Tribunal fédéral 4A_175/2014 du 8 juillet 2014. Dans cette affaire, la société mère mettait également en œuvre le plan d'intéressement des employés de la société fille. Les principes qui se dégagent de cet arrêt trouvent ici application, l'ancien employé devant rechercher la société mère s'il entend faire valoir les droits dont il disposerait selon ledit plan d'intéressement. Partant, l'intimée ne possède pas la légitimation passive et le jugement entrepris sera confirmé.</w:t>
      </w:r>
    </w:p>
    <w:p>
      <w:r>
        <w:t>- 13/14 -</w:t>
      </w:r>
    </w:p>
    <w:p>
      <w:r>
        <w:t>C/13821/2015-3 4. Les frais judiciaires seront fixés à 10'000 fr. (art. 114 let. c CPC a contrario; art. 17 et 35 RTFMC). Il ne sera pas alloué de dépens (art. 22 al. 2 LaCC). * * * * *</w:t>
      </w:r>
    </w:p>
    <w:p>
      <w:r>
        <w:t>- 14/14 -</w:t>
      </w:r>
    </w:p>
    <w:p>
      <w:r>
        <w:t>C/13821/2015-3 PAR CES MOTIFS, La Chambre des prud'hommes, groupe 3 : A la forme : Déclare recevable l'appel interjeté le 19 août 2016 par A______ contre le jugement JTPH/236/2016 rendu le 20 juin 2016 par le Tribunal des prud'hommes dans la cause C/13821/2015-3. Au fond : Confirme ledit jugement. Déboute les parties de toutes autres conclusions. Sur les frais : Arrête les frais judiciaires d'appel à 10'000 fr., les met à la charge d'A______ et les compense avec l'avance de frais, qui reste acquise à l'Etat de Genève. Dit que chaque partie supporte ses propres dépens d'appel. Siégeant : Madame Florence KRAUSKOPF, présidente; Monsieur Guido AMBUHL, juge employeur; Monsieur Michel DE COTE,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juillet 2014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