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CAPH/3/2015 vom 13. März 2014</w:t>
      </w:r>
    </w:p>
    <w:p>
      <w:r>
        <w:t>GE Cour de justice, 2014-03-13, FR</w:t>
      </w:r>
    </w:p>
    <w:p>
      <w:r>
        <w:rPr>
          <w:b/>
        </w:rPr>
        <w:t xml:space="preserve">Quelle: </w:t>
      </w:r>
      <w:r>
        <w:t>https://mcp.opencaselaw.ch/entscheid/ge_gerichte_CAPH_3_2015</w:t>
      </w:r>
    </w:p>
    <w:p>
      <w:r>
        <w:t>FR: GE_GERICHTE CAPH/3/2015 du 13 mars 2014</w:t>
      </w:r>
    </w:p>
    <w:p>
      <w:r>
        <w:t>IT: GE_GERICHTE CAPH/3/2015 del 13 marzo 2014</w:t>
      </w:r>
    </w:p>
    <w:p>
      <w:pPr>
        <w:pStyle w:val="Heading2"/>
      </w:pPr>
      <w:r>
        <w:t>Erwägungen</w:t>
      </w:r>
    </w:p>
    <w:p>
      <w:r>
        <w:rPr>
          <w:b/>
        </w:rPr>
        <w:t>E. 1.1</w:t>
      </w:r>
    </w:p>
    <w:p>
      <w:r>
        <w:t>Selon l'art. 308 CPC, l'appel est recevable contre les décisions finales et incidentes de première instance, lorsque, dans les affaires patrimoniales, la valeur litigieuse au dernier état des conclusions est de 10'000 fr. au moins. La valeur litigieuse était de 31'487 fr. devant l'instance précédente, de sorte que la voie de l'appel est ouverte. L'appel, écrit et motivé, est introduit auprès de l'instance d'appel dans les 30 jours à compter de la notification de la décision motivée (art. 311 al. 1 CPC). En l'espèce, l'appel, qui respecte les dispositions légales précitées, est recevable.</w:t>
      </w:r>
    </w:p>
    <w:p>
      <w:r>
        <w:rPr>
          <w:b/>
        </w:rPr>
        <w:t>E. 2</w:t>
      </w:r>
    </w:p>
    <w:p>
      <w:r>
        <w:t>La Cour revoit la cause avec un plein pouvoir d'examen en fait et en droit (art. 310 CPC; HOHL, Procédure civile, tome II, 2010, n. 2314 et 2416) dans les limites posées par la maximes des débats (art.55 al.1 CPC) et de disposition (art. 58 al.1 CPC) applicables à la présente cause, laquelle est régie par la procédure ordinaire (art. 243 al.1 a contrario CPC), dans la mesure où elle porte sur une cause dont la valeur litigieuse est supérieure à 30'000 fr.</w:t>
      </w:r>
    </w:p>
    <w:p>
      <w:r>
        <w:rPr>
          <w:b/>
        </w:rPr>
        <w:t>E. 2.3</w:t>
      </w:r>
    </w:p>
    <w:p>
      <w:r>
        <w:t>p. 514 s. et les nombreux arrêts cités).</w:t>
      </w:r>
    </w:p>
    <w:p>
      <w:r>
        <w:t>- 9/14 -</w:t>
      </w:r>
    </w:p>
    <w:p>
      <w:r>
        <w:t>C/18490/2012-3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du Tribunal fédéral 4C.282/2006 du 1er mars 2007 consid. 4.3; WYLER, Droit du travail, 2008, p. 534; cf. ég. ATF 130 III 699 consid. 4.1 p. 703; arrêt du Tribunal fédéral 4A_346/2009 du 20 octobre 2009 consid. 3).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w:t>
      </w:r>
    </w:p>
    <w:p>
      <w:r>
        <w:t>- 10/14 -</w:t>
      </w:r>
    </w:p>
    <w:p>
      <w:r>
        <w:t>C/18490/2012-3 de fournir des preuves à l'appui de ses propres allégations quant au motif du congé (ATF 130 III 699 consid. 4.1 et les références citées).</w:t>
      </w:r>
    </w:p>
    <w:p>
      <w:r>
        <w:rPr>
          <w:b/>
        </w:rPr>
        <w:t>E. 3</w:t>
      </w:r>
    </w:p>
    <w:p>
      <w:r>
        <w:t>L’appelant sollicite préalablement la production par l'intimée des fiches de pointage de ses collègues.</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w:t>
      </w:r>
    </w:p>
    <w:p>
      <w:r>
        <w:t>- 8/14 -</w:t>
      </w:r>
    </w:p>
    <w:p>
      <w:r>
        <w:t>C/18490/2012-3 première instance, à savoir lorsqu'il ne serait pas de nature à modifier le résultat des preuves qu'elle tient pour acquis (ATF 138 III 625 consid. 2.3 et 374 consid. 4.3.1-4.3.2; arrêt du Tribunal fédéral 5A_906/2012 du 18 avril 2013 consid. 5.1.2).</w:t>
      </w:r>
    </w:p>
    <w:p>
      <w:r>
        <w:rPr>
          <w:b/>
        </w:rPr>
        <w:t>E. 3.2</w:t>
      </w:r>
    </w:p>
    <w:p>
      <w:r>
        <w:t>En l'espèce, l'appelant n'explique pas en quoi la production de ces pièces nouvelles est fondamentale. La Cour s’estime par ailleurs suffisamment renseignée sur les faits tels qu'ils se sont déroulés entre la fin d'octobre 2011 et la résiliation ordinaire du contrat de travail intervenue le 24 janvier 2012 et considère qu'en tout état, les éléments de fait que l'appelant souhaiterait voir établis ne seraient pas de nature à modifier l'issue du litige au vu des considérants qui suivent (cf. infra consid. 5.2). Dès lors, il ne se justifie pas de donner une suite favorable aux mesures d'instruction requises par l'appelant.</w:t>
      </w:r>
    </w:p>
    <w:p>
      <w:r>
        <w:rPr>
          <w:b/>
        </w:rPr>
        <w:t>E. 4</w:t>
      </w:r>
    </w:p>
    <w:p>
      <w:r>
        <w:t>Il n'est pas contesté que les parties étaient liées par un contrat de travail au sens des articles 319 et suivants du Code des obligations. En outre, le règlement interne de B______, qui faisait partie intégrante du contrat de travail, était applicable. L'appelant est présumé en avoir eu connaissance.</w:t>
      </w:r>
    </w:p>
    <w:p>
      <w:r>
        <w:rPr>
          <w:b/>
        </w:rPr>
        <w:t>E. 5</w:t>
      </w:r>
    </w:p>
    <w:p>
      <w:r>
        <w:t>L'appelant reproche au Tribunal de ne pas avoir retenu le caractère abusif de son licenciement, qui selon lui était un congé de représailles.</w:t>
      </w:r>
    </w:p>
    <w:p>
      <w:r>
        <w:rPr>
          <w:b/>
        </w:rPr>
        <w:t>E. 5.1</w:t>
      </w:r>
    </w:p>
    <w:p>
      <w:r>
        <w:t>Selon l'art. 335 al. 1 CO, le contrat de travail conclu pour une durée indéterminée peut être résilié par chacune des parties. En droit du travail, la liberté de la résiliation prévaut, de sorte que, pour être valable, un congé n'a en principe pas besoin de reposer sur un motif particulier. Le droit de chaque partie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pas exhaustive de sorte qu'une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w:t>
      </w:r>
    </w:p>
    <w:p>
      <w:r>
        <w:rPr>
          <w:b/>
        </w:rPr>
        <w:t>E. 5.2</w:t>
      </w:r>
    </w:p>
    <w:p>
      <w:r>
        <w:t>En l'espèce, l'appelant a admis avoir pris des pauses sans les "badger". Or, il ressort du règlement interne de B______ et des témoignages que les collaborateurs de vente avaient l'obligation de "badger" toutes leurs pauses, qu'elles soient prises durant la plage horaire prévue ou non. Le fait que d'autres employés aient éventuellement omis de "badger" certaines pauses n'autorisait pas pour autant l'appelant à en faire de même. Ceci est d'autant plus vrai que lors de son évaluation du 15 novembre 2011, l'appelant avait été averti que son contrat de travail pourrait être résilié s'il persistait à prendre des pauses sans les "badger" à des heures où il était censé être à son poste de travail, reproche qu'il n'avait pas contesté. L'argumentation de l'appelant selon laquelle une organisation souple des pauses n'impliquait pas de les "badger" tombe dès lors à faux. L'appelant a par ailleurs reconnu avoir fait profiter des tiers de sa carte de rabais du magasin, en achetant notamment soixante-trois montres entre 2008 et 2012. Or le règlement de l'intimée, dont le recourant a admis avoir pris connaissance par l'apposition de sa signature sur le contrat de travail, est clair en ce qui concerne l'utilisation de cette carte, qui doit bénéficier exclusivement aux collaborateurs et aux personnes vivant au sein du même foyer que ceux-ci. Certains témoins ont certes indiqué que plusieurs collaborateurs utilisent leur carte au profit de tiers. Il n'a toutefois pas été établi qu'il s'agit là d'une pratique généralisée, connue de B______ et tolérée par celle-ci. Dès lors, le fait que d'autres employés aient pu violer le règlement n'autorisait pas A______ à s'en écarter, ce d'autant plus que les achats qu'il a opérés au profit de tiers au moyen de sa carte du magasin n'apparaissent pas négligeables. Les reproches adressés à A______ au moment de son licenciement étaient dès lors fondés.</w:t>
      </w:r>
    </w:p>
    <w:p>
      <w:r>
        <w:rPr>
          <w:b/>
        </w:rPr>
        <w:t>E. 5.3</w:t>
      </w:r>
    </w:p>
    <w:p>
      <w:r>
        <w:t>Il appartenait au recourant d'apporter des éléments faisant apparaître comme non réels les motifs avancés par B______ à l'appui de son licenciement et permettant de retenir que le congé était en réalité un congé de représailles. Or, le recourant n'a pas été en mesure d'établir, ni même de rendre vraisemblable, qu'il se serait plaint du comportement adopté par sa supérieure hiérarchique auprès du service des ressources humaines, ce qui aurait entraîné la rupture de son contrat de travail. L'existence de telles doléances paraît d'autant moins crédible que trois mois avant son licenciement, soit le 22 octobre 2011, A______ mentionnait sur son compte rendu d'évaluation le fait que l'atmosphère et le cadre de travail étaient "superbes" et qu'il existait une bonne entente entre les collaborateurs et la supérieure hiérarchique.</w:t>
      </w:r>
    </w:p>
    <w:p>
      <w:r>
        <w:t>- 11/14 -</w:t>
      </w:r>
    </w:p>
    <w:p>
      <w:r>
        <w:t>C/18490/2012-3 L'appelant n'est pas davantage parvenu à établir, ni à rendre vraisemblable, que sa supérieure hiérarchique aurait été agacée par le désir qu'il avait manifesté auprès de I______ d'évoluer au sein de B______, les déclarations sur ce point du témoin J______ n'étant que des suppositions. En tout état de cause, son licenciement ne saurait être en lien avec l'éventuelle antipathie, par ailleurs non démontrée, qu'aurait pu nourrir à son encontre E______, puisque les enquêtes ont permis d'établir que celle-ci n'avait pas participé à la décision de mettre un terme à son contrat de travail, ni n'avait été consultée. Au vu de ce qui précède, c'est à juste titre que le Tribunal a retenu que le congé signifié au recourant n'était pas abusif.</w:t>
      </w:r>
    </w:p>
    <w:p>
      <w:r>
        <w:rPr>
          <w:b/>
        </w:rPr>
        <w:t>E. 6</w:t>
      </w:r>
    </w:p>
    <w:p>
      <w:r>
        <w:t>L'appelant fait grief au Tribunal de ne pas lui avoir alloué une indemnité pour tort moral en raison du "mobbing" qu'il prétend avoir subi de la part de sa supérieure hiérarchique.</w:t>
      </w:r>
    </w:p>
    <w:p>
      <w:r>
        <w:rPr>
          <w:b/>
        </w:rPr>
        <w:t>E. 6.1</w:t>
      </w:r>
    </w:p>
    <w:p>
      <w:r>
        <w:t>L'art. 328 al. 1 CO impose à l'employeur de protéger et de respecter la personnalité du travailleur. Le harcèlement psychologique, ou "mobbing", est une violation de cette obligation.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du Tribunal fédéral 4A_128/2007 du 9 juillet 2007, consid. 2.1; 4C.404/2005 du 10 mars 2006, consid. 3.2).</w:t>
      </w:r>
    </w:p>
    <w:p>
      <w:r>
        <w:t>- 12/14 -</w:t>
      </w:r>
    </w:p>
    <w:p>
      <w:r>
        <w:t>C/18490/2012-3</w:t>
      </w:r>
    </w:p>
    <w:p>
      <w:r>
        <w:rPr>
          <w:b/>
        </w:rPr>
        <w:t>E. 6.2</w:t>
      </w:r>
    </w:p>
    <w:p>
      <w:r>
        <w:t>En l'occurrence, l'appelant allègue avoir été victime de "mobbing", sa supérieure hiérarchique lui ayant fait subir une grande pression, lui ayant imposé ses périodes de vacances et lui ayant assigné des tâches que personne ne souhaitait exécuter. Les enquêtes ont certes permis d'établir que la supérieure hiérarchique de l'appelant était une responsable exigeante, qui adoptait à son égard un comportement parfois amical, parfois distant et qu'elle lui demandait fréquemment de ranger la réserve de cartons, tâche considérée comme ingrate par certains collaborateurs. Il ressort toutefois des déclarations du témoin K______ que E______ adoptait un comportement similaire à l'égard d'autres collaborateurs, de sorte que l'on ne saurait considérer qu'elle entendait isoler ou harceler psychologiquement A______. Par ailleurs, les quelques faits décrits par l'appelant ne sauraient suffire pour admettre une volonté de le "mobber". Enfin, et comme la Cour l'a déjà relevé ci-dessus, trois mois avant son licenciement l'appelant soulignait le caractère agréable de l'ambiance de travail et la bonne entente entre les collaborateurs et leur supérieure hiérarchique, ce qu'il aurait pu s'abstenir de déclarer s'il s'estimait injustement traité. L'appelant a certes produit une expertise psychiatrique attestant d'un état dépressif, réalisée plusieurs mois après la perte de son emploi. Cette expertise ne permet toutefois pas de conclure que les problèmes de santé de A______ seraient le résultat d'un harcèlement psychologique, l'expert mentionnant plutôt, comme causes déclenchantes, le chômage et des problèmes familiaux. C'est dès lors à juste titre que le Tribunal n'a pas alloué à l'appelant d'indemnité pour tort moral.</w:t>
      </w:r>
    </w:p>
    <w:p>
      <w:r>
        <w:rPr>
          <w:b/>
        </w:rPr>
        <w:t>E. 7</w:t>
      </w:r>
    </w:p>
    <w:p>
      <w:r>
        <w:t>Reste à examiner la remise d'un nouveau certificat de travail demandé par l'appelant.</w:t>
      </w:r>
    </w:p>
    <w:p>
      <w:r>
        <w:rPr>
          <w:b/>
        </w:rPr>
        <w:t>E. 7.1</w:t>
      </w:r>
    </w:p>
    <w:p>
      <w:r>
        <w:t>Le travailleur peut demander en tout temps à l'employeur un certificat portant sur la nature et la durée des rapports de travail, ainsi que sur la qualité de son travail et sa conduite (art. 330a al. 1 CO). Le certificat de travail doit être exact et complet; il mentionnera les faits négatifs en relation avec les prestations de l'employé, pour autant que ceux-ci soient pertinents (ATF 136 III 510,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w:t>
      </w:r>
    </w:p>
    <w:p>
      <w:r>
        <w:t>- 13/14 -</w:t>
      </w:r>
    </w:p>
    <w:p>
      <w:r>
        <w:t>C/18490/2012-3 l'appréciation de la qualité du travail effectué ainsi que de l'attitude du travailleur. Le travailleur qui n'établit pas avoir fourni des prestations d'une qualité au-dessus de la moyenne ne peut prétendre à un certificat de travail mentionnant qu'il a œuvré « à notre entière satisfaction » (arrêt du Tribunal fédéral 4A_117/2007 du 13 septembre 2007, consid. 7.1). Le travailleur supporte le fardeau de la preuve des faits dont il demande l'adjonction (arrêt du Tribunal fédéral précité, ibidem).</w:t>
      </w:r>
    </w:p>
    <w:p>
      <w:r>
        <w:rPr>
          <w:b/>
        </w:rPr>
        <w:t>E. 7.2</w:t>
      </w:r>
    </w:p>
    <w:p>
      <w:r>
        <w:t>En l'espèce, l’intimée a remis à l’appelant un certificat de travail qui décrit les activités effectuées et les facultés particulières de son ancien employé. Ce document ne contient aucune appréciation négative et il relève en particulier la maîtrise de l'anglais et le bon comportement adopté par le travailleur avec sa hiérarchie et ses collègues. C'est par ailleurs à juste titre que le certificat de travail utilise le terme de "bon" pour qualifier le savoir professionnel de l'appelant. En effet, le travail de l'appelant ne peut être considéré comme excellent, terme qui qualifie la perfection, alors que des reproches ont été formulés à son encontre concernant son attitude face à des clients difficiles. Il convient en outre de ne pas perdre de vue le fait que l'appelant n'a pas respecté le règlement concernant aussi bien le contrôle des pauses que l'utilisation de la carte de rabais, de sorte que les prestations fournies, dans leur ensemble, ne sauraient être considérées comme excellentes. Le certificat de travail remis à l'appelant est dès lors conforme aux dispositions légales et aux constatations relatives à la qualité du travail fourni. Le jugement attaqué sera par conséquent également confirmé sur ce point.</w:t>
      </w:r>
    </w:p>
    <w:p>
      <w:r>
        <w:rPr>
          <w:b/>
        </w:rPr>
        <w:t>E. 8</w:t>
      </w:r>
    </w:p>
    <w:p>
      <w:r>
        <w:t>Les frais judiciaires d'appel, arrêtés à 500 fr., seront mis à la charge de l'appelant, qui succombe (art. 95 et 106 al. 1 CPC; art. 71 du Règlement fixant le tarif des frais en matière civile, RTFMC - E 1 05.10). Le montant de 500 fr. mis à la charge de l'appelant sera provisoirement supporté par l'Etat, celui-ci plaidant au bénéfice de l'assistance judiciaire. Il n'est pas alloué de dépens (art. 22 al. 2 LaCC). * * * * *</w:t>
      </w:r>
    </w:p>
    <w:p>
      <w:r>
        <w:t>- 14/14 -</w:t>
      </w:r>
    </w:p>
    <w:p>
      <w:r>
        <w:t>C/18490/2012-3 PAR CES MOTIFS, La Chambre des prud'hommes, groupe 3 : A la forme : Déclare recevable l'appel interjeté par A______ contre le jugement JTPH/88/2014 rendu le 13 mars 2014 par le Tribunal des prud'hommes dans la cause C/18490/2012-3. Au fond : Confirme ledit jugement. Déboute les parties de toutes autres conclusions. Sur les frais : Arrête les frais judiciaires d'appel à 500 fr. Les met à la charge de A______ et dit qu'ils sont provisoirement supportés par l'Etat de Genève. Dit qu'il n'est pas alloué de dépens. Siégeant : Madame Paola CAMPOMAGNANI, présidente; Monsieur Tito VILA, juge employeur, Madame Monique LENOIR, juge salariée;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