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CAPH/37/2022 vom 31. August 2021</w:t>
      </w:r>
    </w:p>
    <w:p>
      <w:r>
        <w:t>GE Cour de justice, 2021-08-31, FR</w:t>
      </w:r>
    </w:p>
    <w:p>
      <w:r>
        <w:rPr>
          <w:b/>
        </w:rPr>
        <w:t xml:space="preserve">Quelle: </w:t>
      </w:r>
      <w:r>
        <w:t>https://mcp.opencaselaw.ch/entscheid/ge_gerichte_CAPH_37_2022</w:t>
      </w:r>
    </w:p>
    <w:p>
      <w:r>
        <w:t>FR: GE_GERICHTE CAPH/37/2022 du 31 août 2021</w:t>
      </w:r>
    </w:p>
    <w:p>
      <w:r>
        <w:t>IT: GE_GERICHTE CAPH/37/2022 del 31 agosto 2021</w:t>
      </w:r>
    </w:p>
    <w:p>
      <w:pPr>
        <w:pStyle w:val="Heading2"/>
      </w:pPr>
      <w:r>
        <w:t>Erwägungen</w:t>
      </w:r>
    </w:p>
    <w:p>
      <w:r>
        <w:rPr>
          <w:b/>
        </w:rPr>
        <w:t>E. 1.1</w:t>
      </w:r>
    </w:p>
    <w:p>
      <w:r>
        <w:t>L'appel est recevable notamment contre les décisions finales de première instance (art. 308 al. 1 let. a CPC) dans les causes patrimoniales dont la valeur litigieuse, au dernier état des conclusions de première instance, est supérieure à 10'000 fr. (art. 308 al. 2 CPC). Dès lors qu'en l'espèce les montants litigieux sont supérieurs à 10'000 fr. et que l'appel a été interjeté dans le délai et selon la forme prescrits par la loi (art. 130, 131, 142 al. 1 et 3 et 311 al. 1), il est recevable.</w:t>
      </w:r>
    </w:p>
    <w:p>
      <w:r>
        <w:t>- 7/12 -</w:t>
      </w:r>
    </w:p>
    <w:p>
      <w:r>
        <w:t>C/27143/2020-5</w:t>
      </w:r>
    </w:p>
    <w:p>
      <w:r>
        <w:rPr>
          <w:b/>
        </w:rPr>
        <w:t>E. 1.2</w:t>
      </w:r>
    </w:p>
    <w:p>
      <w:r>
        <w:t>La Chambre de céans revoit la cause en fait et en droit avec un plein pouvoir d'examen (art. 310 CPC). En particulier, elle contrôle librement l'appréciation des preuves effectuée par le juge de première instance (ATF 138 III 374 consid. 4.3.1; arrêt du Tribunal fédéral 4A_153/2014 du 28 août 2014 consid. 2.2.3).</w:t>
      </w:r>
    </w:p>
    <w:p>
      <w:r>
        <w:rPr>
          <w:b/>
        </w:rPr>
        <w:t>E. 2</w:t>
      </w:r>
    </w:p>
    <w:p>
      <w:r>
        <w:t>L'appelante a allégué des faits nouveaux et formulé des conclusions nouvelles en appel.</w:t>
      </w:r>
    </w:p>
    <w:p>
      <w:r>
        <w:rPr>
          <w:b/>
        </w:rPr>
        <w:t>E. 2.1</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w:t>
      </w:r>
    </w:p>
    <w:p>
      <w:r>
        <w:rPr>
          <w:b/>
        </w:rPr>
        <w:t>E. 2.2</w:t>
      </w:r>
    </w:p>
    <w:p>
      <w:r>
        <w:t>En l'espèce, en restant inactive en première instance, l'appelante s'est privée des occasions offertes par le droit de procédure d'alléguer les faits et administrer les preuves nécessaires à soutenir sa cause en justice. Elle ne saurait utiliser l'appel pour y remédier, compte tenu des limites imposées par l'art. 317 CPC à l'invocation de faits nouveaux. Il en résulte que, dans la mesure où l'appelante, dans son mémoire d'appel, expose des faits nouveaux, conteste les faits allégués par la partie adverse en première instance et leur oppose une version de fait différente ou encore s'attaque à l'état de fait retenu par le Tribunal en y opposant une version différente, elle allègue en réalité nouvellement des faits qui ne sont plus admissibles aux débats. Ainsi, à ce stade de la procédure et au vu de ses carences en première instance, l'ensemble des allégués nouveaux de l'appelante en appel sont irrecevables. L'appelante ne peut ainsi qu'articuler en appel des griefs consistant à reprocher au Tribunal, en matière d'établissement des faits, d'avoir retenu ou écarté à tort un fait allégué par l'intimé en administrant et en appréciant de manière erronée les preuves.</w:t>
      </w:r>
    </w:p>
    <w:p>
      <w:r>
        <w:rPr>
          <w:b/>
        </w:rPr>
        <w:t>E. 3</w:t>
      </w:r>
    </w:p>
    <w:p>
      <w:r>
        <w:t>L'appelante reproche au Tribunal d'avoir considéré qu'il avait été fait une juste application de l'art. 147 al. 3 CPC. Elle soutient que son attention n'avait pas été suffisamment attirée sur les conséquences du défaut.</w:t>
      </w:r>
    </w:p>
    <w:p>
      <w:r>
        <w:rPr>
          <w:b/>
        </w:rPr>
        <w:t>E. 3.1</w:t>
      </w:r>
    </w:p>
    <w:p>
      <w:r>
        <w:t>A teneur de l'art. 147 al. 3 CPC, le tribunal rend les parties attentives aux conséquences du défaut. L'obligation d'informer découle du principe de la bonne foi. Il ne s'agit pas d'une prescription d'ordre: l'information correcte selon l'art. 147 al. 3 CPC est en principe une condition de la forclusion, à moins que le plaideur n'ait connu les</w:t>
      </w:r>
    </w:p>
    <w:p>
      <w:r>
        <w:t>- 8/12 -</w:t>
      </w:r>
    </w:p>
    <w:p>
      <w:r>
        <w:t>C/27143/2020-5 conséquences de l'omission ou n'ait pu s'en rendre compte en faisant preuve de la diligence que l'on peut attendre de lui. Selon la doctrine, la seule mention de la disposition spéciale applicable ne suffit pas; l'attention des parties doit être attirée sur les conséquences concrètes de l'omission. L'avis selon lequel le juge pourra "rendre directement une décision finale, pourvu que la cause soit en état d'être jugée (art. 223 al. 2 CPC) et sous réserve de l'art. 153 al. 2 CPC" peut être compris dans tout son sens par un juriste, qui sait le situer correctement dans le cadre du mécanisme, complexe, de contestation et de preuve des faits juridiquement pertinents. En revanche, il ne suffit pas à un plaideur non assisté d'un avocat, car il ne l'informe pas clairement sur la conséquence concrète irréversible que pourrait avoir l'omission de la réponse, c'est-à-dire le prononcé d'une décision fondée sur les seuls faits allégués par le demandeur, demeurés incontestés. Ce plaideur doit être informé expressément des conséquences concrètes du défaut de réponse. Il suffit pour cela de préciser que si le délai échoit sans être utilisé, le juge aura la faculté de rendre une décision finale "en se fondant sur les seuls faits allégués par le demandeur" (arrêt du Tribunal fédéral 4A_381/2018 du 7 juin 2019 consid. 2.2 et 2.4, BASTONS BULLETTI in CPC Online, newsletter du 11 juillet 2019).</w:t>
      </w:r>
    </w:p>
    <w:p>
      <w:r>
        <w:rPr>
          <w:b/>
        </w:rPr>
        <w:t>E. 3.2</w:t>
      </w:r>
    </w:p>
    <w:p>
      <w:r>
        <w:t>En l'espèce, dans l'ordonnance du 26 mai 2021 fixant un délai supplémentaire à l'appelante pour déposer sa réponse, son attention était expressément attirée sur les conséquences du défaut, en ce sens qu'il était indiqué que le Tribunal rendrait une décision finale si la cause était en état d'être jugée, mais que dans le cas contraire la cause serait citée aux débats. Contrairement à ce que tente de soutenir l'appelante, dite mention était suffisante au regard des principes ci-dessus mentionnées. Il n'était pas seulement renvoyé à une disposition légale et la formulation du Tribunal était claire. En tous les cas, en faisant preuve de la diligence requise, l'appelante aurait dû comprendre qu'en ne répondant pas à la demande, elle prenait le risque qu'une décision finale soit rendue. Elle l'a d'ailleurs bien saisi, puisqu'elle a adressé au Tribunal une réponse, mais après l'échéance du délai. Les explications qu'elle donne à cet égard (erreur de date sur le timbre humide du Tribunal) frisent la mauvaise foi. Alors qu'elle savait qu'une procédure avait été initiée à son encontre, ayant déjà été convoquée à l'audience de conciliation et s'étant vu impartir un premier délai pour répondre à la demande, l'appelante a fait preuve d'un manque de diligence en ne se déterminant pas dans le délai nouvellement imparti. Elle ne saurait échapper aux conséquences de cette omission, sous prétexte d'une mauvaise application de l'art. 147 al. 3 CPC. L'état de fait contenu dans l'arrêt 4A_381/2018 du 7 juin 2019 cité par l'appelante est sensiblement différent de celui de la présente espèce, de sorte qu'il ne saurait en être tiré argument. Le grief est infondé.</w:t>
      </w:r>
    </w:p>
    <w:p>
      <w:r>
        <w:t>- 9/12 -</w:t>
      </w:r>
    </w:p>
    <w:p>
      <w:r>
        <w:t>C/27143/2020-5</w:t>
      </w:r>
    </w:p>
    <w:p>
      <w:r>
        <w:rPr>
          <w:b/>
        </w:rPr>
        <w:t>E. 4</w:t>
      </w:r>
    </w:p>
    <w:p>
      <w:r>
        <w:t>L'appelante fait grief au Tribunal d'avoir considéré que la cause était en état d'être jugée. Elle soutient qu'il existe des contradictions entre les allégués de l'intimé et les pièces produites, qui auraient dû conduire le Tribunal à instruire la cause avant de rendre sa décision. 4.1.1 Une partie est défaillante lorsqu'elle omet d'accomplir un acte de procédure dans le délai prescrit ou ne se présente pas lorsqu'elle est citée à comparaître (art. 147 al. 1 CPC). La procédure suit son cours sans qu'il soit tenu compte du défaut, à moins que la loi n'en dispose autrement (art. 147 al. 2 CPC). Le tribunal rend les parties attentives aux conséquences du défaut (art. 147 al. 3 CPC). Selon l’art. 223 al. 2, 1re phrase, « le tribunal rend la décision finale si la cause est en état d’être jugée ». Cette notion doit être mise en relation avec les règles sur le fardeau de la preuve, le fardeau de la contestation et les cas où le tribunal doit néanmoins instruire d’office : le plus souvent, la maxime des débats s’applique (art. 55 CPC) et l’art. 8 CC règle le fardeau de la preuve. Les faits allégués par le demandeur sont par ailleurs dispensés de preuve, puisque faute de réponse le défendeur n’a pas exposé lesquels sont reconnus ou contestés (art. 222 al. 2, 2e phrase CPC) et qu’en vertu de l’art. 150 CPC la nouvelle procédure n’exige la preuve que des faits contestés. La cause est donc normalement en état d’être jugée si, sur la base des allégations non contestées de la demande, le tribunal dispose des éléments nécessaires pour statuer sans avoir d’autres mesures notamment d’administration de preuves à mettre en œuvre auparavant. A ce principe, le CPC apporte deux tempéraments : d’une part le tribunal n’est pas dispensé d’administrer des preuves lorsque les faits doivent être établis d’office (art. 153 al. 1), hypothèse à vrai dire exceptionnelle en procédure ordinaire (art. 219 N 6). D’autre part, même dans une cause en principe pleinement soumise à la maxime des débats, le tribunal aura la faculté d’administrer des preuves d’office s’il existe des motifs sérieux de douter de la véracité d’un fait non contesté. Cela peut évidemment être le cas d’allégations d’une demande non contestées simplement parce que le défendeur n’a pas déposé de réponse, et l’art. 153 al. 2 a été conçu notamment pour l’hypothèse d’un défaut d’une partie, même s’il est aussi susceptible de s’appliquer dans un procès contradictoire (Message CPC, 6923). Dans ce cas, le tribunal a la faculté d’administrer des preuves d’office sans que ce soit une obligation (Kann-Vorschrift), mais il ne devra pas non plus tomber dans l’arbitraire, ni en rendant lettre morte l’art. 223 al. 2, 1re phrase, ni en n’ayant jamais de doutes sur des allégués non contestés. En pratique, le juge ne doit pas se montrer particulièrement regardant si rien dans le dossier ne donne à penser à ce stade que les affirmations du demandeur ne seraient pas véridiques : il n’a en effet le droit d’ordonner d’office des preuves, dans l’hypothèse envisagée, que s’il a des doutes sérieux à leur égard, doutes qui</w:t>
      </w:r>
    </w:p>
    <w:p>
      <w:r>
        <w:t>- 10/12 -</w:t>
      </w:r>
    </w:p>
    <w:p>
      <w:r>
        <w:t>C/27143/2020-5 ne sauraient résulter simplement du fait que le défendeur a négligé de procéder. Il peut en revanche appliquer l’art. 153 al. 2 si des allégations paraissent invraisemblables au regard des pièces produites avec la demande, ou ne reposent sur aucune appréciation réelle des faits (p. ex. montant du dommage articulé manifestement sans reposer sur un quelconque calcul). Que la nécessité d’administrer d’office des preuves soit fondée sur l’art. 153 al. 1 ou sur l’art. 153 al. 2, elle aura pour conséquence que la cause n’est pas en état d’être jugée au sens de l’art. 223 al. 2, 1re phrase. La procédure devra donc dans ces cas se poursuivre comme en contradictoire, nonobstant l’absence de réponse (CR CPC-TAPPY, art. 223 N 9-11). 4.1.2 Sauf disposition contraire de la loi, le contrat individuel de travail n'est soumis à aucune forme spéciale (art. 320 al. 1 CO). 4.1.3 Selon l’article 327a al. 1 CO, l’employeur rembourse au travailleur tous les frais imposés par l’exécution du travail et, lorsque le travailleur est occupé en dehors de son lieu de travail, les dépenses nécessaires pour son entretien. Un accord écrit, un contrat-type ou une convention collective peuvent autoriser les parties à remplacer le remboursement des frais effectifs par une indemnisation forfaitaire ou périodique, à condition qu'elle couvre au moins tous les frais effectivement encourus par le travailleur (art. 327a al. 2 CO) (ATF 131 III 439 consid. 4, trad. in JdT 2006 I p. 35, cité in WITZIG, Droit du travail, 2018, p. 525). Le remboursement des frais imposés par l'exécution du travail ne fait normalement pas partie de la rémunération du travailleur. Lorsque le remboursement des frais se fait sous forme d'indemnité forfaitaire, il peut cacher un « salaire déguisé ». Connaître la véritable rémunération du travailleur implique donc d'interpréter la volonté des parties (arrêt de la Chambre d'appel des prud'hommes du canton de Genève CAPH/128/2013 du 20 décembre 2013 consid. 3.1). Constitue un salaire déguisé, soumis aux assurances sociales, l'indemnité forfaitaire que verse l'employeur au travailleur en application de l'article 327a CO, lorsque cette indemnité ne tend pas à défrayer l'intéressé de frais effectivement encourus par ses soins (arrêt du Tribunal fédéral 4C.426/2005 du 28 février 2006 consid. 4 ; DANTHE, Commentaire du contrat de travail, 2013, n. 24 ad art. 327a).</w:t>
      </w:r>
    </w:p>
    <w:p>
      <w:r>
        <w:rPr>
          <w:b/>
        </w:rPr>
        <w:t>E. 4.2</w:t>
      </w:r>
    </w:p>
    <w:p>
      <w:r>
        <w:t>En l'espèce, c'est à bon droit que le Tribunal a considéré que la cause était en état d'être jugée, les pièces et allégations permettant de retenir qu'un contrat avait été conclu et que l'allocation de 6'000 fr. prévue était une composante du salaire. En effet, tout d'abord, l'absence d'une double signature de l'appelante était insuffisante à retenir que le contrat n'avait pas été valablement conclu, aucune forme particulière n'étant requise pour admettre la conclusion d'un contrat de travail et il était allégué et non contesté que l'intimé avait déployé une activité</w:t>
      </w:r>
    </w:p>
    <w:p>
      <w:r>
        <w:t>- 11/12 -</w:t>
      </w:r>
    </w:p>
    <w:p>
      <w:r>
        <w:t>C/27143/2020-5 pour l'appelante et touché un salaire pendant plusieurs mois. La prétendue nécessité d'une ratification du contrat par le conseil d'administration (allégation nouvelle irrecevable) ne ressort d'aucune pièce ni allégation recevable, de sorte que le Tribunal n'avait pas à examiner ce point. Ensuite, l'intimé avait allégué que les parties avaient voulu que l'allocation mensuelle de frais nette constitue une part de salaire. Dans son courrier du 14 juillet 2020, il avait parlé, à cet égard, d'"allocations forfaitaires mensuelles". Il avait allégué que l'appelante s'était engagée à les lui verser avec son salaire du mois de novembre 2020. Compte tenu des autres éléments du dossier, à savoir les retards répétés dans le paiement du salaire de 15'000 fr., l'absence de contestation de l'appelante face aux demandes répétées de l'intimé en paiement des frais forfaitaires, le Tribunal pouvait considérer que la cause était en état d'être jugée, les prétendues contradictions évoquées par l'appelante entre les allégations de l'intimé et les pièces pouvant être résolues sur la base des éléments qui précèdent, sans instruction complémentaire. Enfin, le dossier ne contient aucun indice d'une éventuelle mauvaise foi de l'intimé à faire valoir ses prétentions (allégation nouvelle irrecevable). Le Tribunal n'avait dès lors pas non plus besoin d'instruire ce point. Au vu des considérations qui précèdent, il n'existait ainsi aucun motif sérieux de douter de la véracité des faits allégués par l'intimé et non contestés, lesquels étaient suffisants pour qu'une décision finale soit rendue, sans mesure d'instruction. L'appel, infondé, sera rejeté et le jugement entièrement confirmé.</w:t>
      </w:r>
    </w:p>
    <w:p>
      <w:r>
        <w:rPr>
          <w:b/>
        </w:rPr>
        <w:t>E. 5</w:t>
      </w:r>
    </w:p>
    <w:p>
      <w:r>
        <w:t>Selon l’art. 19 al. 3 let. c LaCC et l’art. 71 a contrario RTFMC, lorsque la valeur litigieuse est inférieure à 50'000 fr. devant la Cour de justice, ce qui est le cas en en l'espèce, la procédure est gratuite. Selon l’art. 22 al. 2 LaCC, il n’est pas alloué de dépens ni d’indemnité pour la représentation en justice dans les causes soumises à la juridiction des prud’hommes. Aucun dépens ne sera donc alloué. * * * * *</w:t>
      </w:r>
    </w:p>
    <w:p>
      <w:r>
        <w:t>- 12/12 -</w:t>
      </w:r>
    </w:p>
    <w:p>
      <w:r>
        <w:t>C/27143/2020-5 PAR CES MOTIFS, La Chambre des prud'hommes, groupe 5 : A la forme : Déclare recevable l'appel formé par A______ SA contre le jugement JTPH/321/2021-5 rendu le 31 août 2021 par le Tribunal des prud'hommes, groupe 5 dans la cause C/27143/2020-5. Au fond : Confirme ce jugement. Déboute les parties de toutes autres conclusions. Sur les frais : Dit qu'il n'est pas perçu de frais judiciaires d'appel. Dit qu'il n'est pas alloué de dépens d'appel. Siégeant : Madame Pauline ERARD, présidente; Madame Anne-Christine GERMANIER,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