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CAPH/35/2005 vom 14. Februar 2005</w:t>
      </w:r>
    </w:p>
    <w:p>
      <w:r>
        <w:t>GE Cour de justice, 2005-02-14, FR</w:t>
      </w:r>
    </w:p>
    <w:p>
      <w:r>
        <w:rPr>
          <w:b/>
        </w:rPr>
        <w:t xml:space="preserve">Quelle: </w:t>
      </w:r>
      <w:r>
        <w:t>https://mcp.opencaselaw.ch/entscheid/ge_gerichte_CAPH_35_2005</w:t>
      </w:r>
    </w:p>
    <w:p>
      <w:r>
        <w:t>FR: GE_GERICHTE CAPH/35/2005 du 14 février 2005</w:t>
      </w:r>
    </w:p>
    <w:p>
      <w:r>
        <w:t>IT: GE_GERICHTE CAPH/35/2005 del 14 febbraio 2005</w:t>
      </w:r>
    </w:p>
    <w:p>
      <w:pPr>
        <w:pStyle w:val="Heading2"/>
      </w:pPr>
      <w:r>
        <w:t>Regeste</w:t>
      </w:r>
    </w:p>
    <w:p>
      <w:r>
        <w:t>Résumé: T a été licencié dans le respect du délai de congé, suspendu en raison de certificats médicaux. Une procédure pénale a été ouverte contre T dans le canton de Neuchâtel. Il a été mis en détention provisoire. E a également déposé plainte pénale contre T. Il a ensuite pris connaissance du contenu de la plainte pénale antérieure et licencié T avec effet immédiat. T dépose une demande en paiement d'une indemnité pour licenciement immédiat injustifié, salaire, treizième salaire et indemnité de vacances. Le Tribunal a suspendu l'instruction en opportunité comme dépendant du pénal. T appelle de ce jugement. La Cour retient qu'un même complexe de fait est à l'origine du licenciement immédiat et de la plainte pénale. La décision pénale constituera un élément d'appréciation important et influencera de manière significative l'issue du procès civil. Compte tenu de l'avancement des procédures pénales, le principe de célérité n'est pas violé. Enfin, l'économie de procédure justifie l'instruction de l'affaire pénale avant l'affaire civile. La suspension est confirmée.</w:t>
      </w:r>
    </w:p>
    <w:p>
      <w:pPr>
        <w:pStyle w:val="Heading2"/>
      </w:pPr>
      <w:r>
        <w:t>Erwägungen</w:t>
      </w:r>
    </w:p>
    <w:p>
      <w:r>
        <w:rPr>
          <w:b/>
        </w:rPr>
        <w:t>E. 1</w:t>
      </w:r>
    </w:p>
    <w:p>
      <w:r>
        <w:t>L’appel est recevable, ayant été interjeté dans le délai et suivant la forme prévue par la loi ( art. 59 LJP ).</w:t>
      </w:r>
    </w:p>
    <w:p>
      <w:r>
        <w:t>Selon l’art. 56 al. 1 LJP, les jugements rendus par le Tribunal des prud’hommes dans les causes dont la demande principale ou reconventionnelle est supérieure à 1'000 fr., ainsi que ceux rendus en application de l’art. 24 al. 1 let. a LJP, peuvent être déférés à la Cour d’appel.</w:t>
      </w:r>
    </w:p>
    <w:p>
      <w:r>
        <w:t>2.1 A teneur de l’art. 57 al. 1 LJP, le Président de la Cour d’appel statue seul et sans audience sur les appels portant sur une question de litispendance, de compétence, d’autorité de la chose jugée, de récusation ou toute autre question de nature procédurale comme en l’espèce. A teneur de l’art. 57 al. 2 LPJ, le Président peut toutefois décider de faire convoquer la cause à une audience de la Cour d’appel siégeant dans sa composition habituelle.</w:t>
      </w:r>
    </w:p>
    <w:p>
      <w:r>
        <w:t>Selon la jurisprudence, l'art. 107 LPC, applicable à titre supplétif à la procédure prud’homale (art. 11 LJP), laisse au juge civil un large pouvoir d'appréciation pour vérifier si la cause pénale invoquée à l'appui de la requête de suspension civile est de nature à influer celle-ci de manière décisive (cf. Bertossa/Gaillard/ Guyet/Schmidt, Commentaire de la loi de procédure civile genevoise, n. 2 ad art. 107 LPC). Toutefois, la suspension de l'instruction de l'action civile est impérative lorsqu'elle réunit toutes les conditions posées par la loi et la jurisprudence, à savoir :</w:t>
      </w:r>
    </w:p>
    <w:p>
      <w:r>
        <w:t>• L'action civile a pour objet de débattre du fond du droit.</w:t>
      </w:r>
    </w:p>
    <w:p>
      <w:r>
        <w:t>Juridiction des prud’hommes</w:t>
      </w:r>
    </w:p>
    <w:p>
      <w:r>
        <w:t>Cause n° C/4614/2004 - 1 - 5 -</w:t>
      </w:r>
    </w:p>
    <w:p>
      <w:r>
        <w:t>* COUR D’APPEL *</w:t>
      </w:r>
    </w:p>
    <w:p>
      <w:r>
        <w:t>• Elle doit tendre à la réparation pécuniaire du dommage causé au deman- deur par une infraction punissable pénalement. • Une inculpation doit avoir été prononcée. • La personne inculpée est la même qui figure en qualité de défenderesse. • Il existe un rapport de connexité entre l'acte illicite et le comportement réprimé par la disposition pénale. • L'action publique est conduite par les autorités judiciaires genevoises (cf. Gaillard, "Le pénal tient le civil en l'état" in SJ 1985 p. 145).</w:t>
      </w:r>
    </w:p>
    <w:p>
      <w:r>
        <w:t>Ces conditions sont cumulatives.</w:t>
      </w:r>
    </w:p>
    <w:p>
      <w:r>
        <w:t>2.2 Le principe de célérité qui découle de l'art. 29 al. 1 Cst. pose cependant des limites à la suspension d'une procédure jusqu'à droit connu sur le sort d'une procédure parallèle (ATF 4P.143/2003 du 16 septembre 2003 in : SJ 2004, p. 146 ; ATF 119 II 386 consid. 1b p. 389). 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(ATF 119 II 386 consid. 1b p. 389). Il appartiendra au juge de mettre en balance, d'une part, la nécessité de statuer dans un délai raisonnable et, d'autre part, le risque de décisions contradictoires (Bertossa/Gaillard/Guyet/Schmidt, op. cit., n. 2 ad art. 107 LPC).</w:t>
      </w:r>
    </w:p>
    <w:p>
      <w:r>
        <w:t>2.3 L’art. 7 al. 2 CPP prévoit par ailleurs que l’action civile, en réparation du dommage causé par une infraction, peut être intentée séparément de l’action pu- blique. Dans ce cas, celle-ci, commencée avant ou pendant la poursuite de l’action civile, suspend l’instruction de cette dernière jusqu’à jugement pénal définitif, ordonnance de non-lieu ou classement.</w:t>
      </w:r>
    </w:p>
    <w:p>
      <w:r>
        <w:t>3.1 Un même complexe de faits est à l’origine du licenciement pour justes motifs de l’appelant et de la plainte pénale déposée à son encontre. Les faits sur lesquels se fondent la procédure devant la juridiction des prud’hommes sont donc identiques à ceux faisant l’objet de la procédure pénale</w:t>
      </w:r>
    </w:p>
    <w:p>
      <w:r>
        <w:t>La procédure probatoire portera pour l’essentiel sur les mêmes faits, qui, indiffé- remment, sont examinés par le juge pénal et par les Prud’hommes. Dès lors, mê- me si le jugement pénal ne lie pas le juge civil en ce qui concerne l’appréciation de la faute (art. 53 al. 2 CO), la décision pénale constituera un élément d’apprécia- tion important et influencera de manière significative l’issue du procès civil, no- tamment en tant qu’il relève d’un licenciement immédiat pour justes motifs. Les deux procédures sont donc intimement liées.</w:t>
      </w:r>
    </w:p>
    <w:p>
      <w:r>
        <w:t>Le juge pénal neuchâtelois a progressé rapidement et a établi des faits qui seront utiles aux débats devant les prud’hommes. Avec l’accord des autorités judiciaires genevoises, il s’est désaisi de la partie de la cause concernant les infractions repro-</w:t>
      </w:r>
    </w:p>
    <w:p>
      <w:r>
        <w:t>Juridiction des prud’hommes</w:t>
      </w:r>
    </w:p>
    <w:p>
      <w:r>
        <w:t>Cause n° C/4614/2004 - 1 - 6 -</w:t>
      </w:r>
    </w:p>
    <w:p>
      <w:r>
        <w:t>* COUR D’APPEL *</w:t>
      </w:r>
    </w:p>
    <w:p>
      <w:r>
        <w:t>chées à l’appelant par ordonnance du 27 février 2004 de sorte que le principe de célérité n’est pas ici violé, nonobstant le fait qu’il appartient désormais au Procu- reur général de se déterminer sur la suite qu’il entend donner cette procédure.</w:t>
      </w:r>
    </w:p>
    <w:p>
      <w:r>
        <w:t>3.2 L’intérêt d’une bonne administration de la justice commande par ailleurs d’éviter dans la mesure du possible les décisions contradictoires. Enfin, l’économie de procédure justifie que l’on instruise l’affaire pénale avant l’affaire civile. La pesée des intérêts en présence ne permet donc pas de mettre en évidence un interêt pré- pondérant de l’appelant justifiant une reprise de l’instruction devant les prud’hom- mes. Ceci est d’autant plus vrai que les conséquences économiques d’un éventuel retard de la procédure civile ne sont pas invoquées par l’appelant pour justifier la reprise de l’instance civile. Les premiers juges ont par conséquent statué confor- mément aux principes jurisprudentiels susrappelés et leur décision doit être confir- mée, à tout le moins en opportunité.</w:t>
      </w:r>
    </w:p>
    <w:p>
      <w:r>
        <w:t>Par ailleurs, l’inculpation de l’appelant ayant été prononcée en novembre 2003, on ne saurait dire que l’intimée a laissé la procédure civile se dérouler sans réserves pendant une trop longue durée avant d’en solliciter la suspension.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