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CAPH/33/2024 vom 12. April 2024</w:t>
      </w:r>
    </w:p>
    <w:p>
      <w:r>
        <w:t>GE Cour de justice, 2024-04-12, FR</w:t>
      </w:r>
    </w:p>
    <w:p>
      <w:r>
        <w:rPr>
          <w:b/>
        </w:rPr>
        <w:t xml:space="preserve">Quelle: </w:t>
      </w:r>
      <w:r>
        <w:t>https://mcp.opencaselaw.ch/entscheid/ge_gerichte_CAPH_33_2024</w:t>
      </w:r>
    </w:p>
    <w:p>
      <w:r>
        <w:t>FR: GE_GERICHTE CAPH/33/2024 du 12 avril 2024</w:t>
      </w:r>
    </w:p>
    <w:p>
      <w:r>
        <w:t>IT: GE_GERICHTE CAPH/33/2024 del 12 aprile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145 al. 1 let. c et 311 al. 1 CPC). Il en est de même des écritures subséquentes des parties déposées dans les délais utiles.</w:t>
      </w:r>
    </w:p>
    <w:p>
      <w:r>
        <w:rPr>
          <w:b/>
        </w:rPr>
        <w:t>E. 1.2</w:t>
      </w:r>
    </w:p>
    <w:p>
      <w:r>
        <w:t>La Chambre de céans revoit la cause en fait et en droit avec un plein pouvoir d'examen (art. 310 CPC).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Le litige, dont la valeur litigieuse est inférieure à 30'000 fr., est soumis à la procédure simplifiée (art. 243 al. 1 CPC). La maxime inquisitoire sociale s’applique, le juge établissant les faits d’office (art. 247 al. 2 let. b ch. 2 CPC). Il est toutefois lié par les conclusions des parties (art. 58 al. 1 CPC).</w:t>
      </w:r>
    </w:p>
    <w:p>
      <w:r>
        <w:rPr>
          <w:b/>
        </w:rPr>
        <w:t>E. 2</w:t>
      </w:r>
    </w:p>
    <w:p>
      <w:r>
        <w:t>L'appelante relève que l'intimé n'a pas remis de procuration en faveur de son conseil au Tribunal, qui n'en a pas requis le dépôt, et s'en remet à la Cour quant à la recevabilité des actes procéduraux de celui-ci en première instance.</w:t>
      </w:r>
    </w:p>
    <w:p>
      <w:r>
        <w:t>- 11/18 -</w:t>
      </w:r>
    </w:p>
    <w:p>
      <w:r>
        <w:t>C/645/2022</w:t>
      </w:r>
    </w:p>
    <w:p>
      <w:r>
        <w:rPr>
          <w:b/>
        </w:rPr>
        <w:t>E. 2.1</w:t>
      </w:r>
    </w:p>
    <w:p>
      <w:r>
        <w:t>Tout représentant d'une partie, notamment les avocats, doit justifier de ses pouvoirs par une procuration (art. 68 al. 2 let. a et al. 3 CPC). Cette procuration doit être fournie en annexe à la réponse (art. 221 al. 2 let. a et 222 al. 2 CPC). S'il manque une procuration, le tribunal doit la réclamer et la joindre au dossier (art. 68 al. 3 et 132 al. 1 CPC).</w:t>
      </w:r>
    </w:p>
    <w:p>
      <w:r>
        <w:rPr>
          <w:b/>
        </w:rPr>
        <w:t>E. 2.2</w:t>
      </w:r>
    </w:p>
    <w:p>
      <w:r>
        <w:t>L'appelante a expressément indiqué, dans sa demande du 24 mai 2022, que l'intimé était représenté par son conseil et elle n'a jamais remis en cause les pouvoirs de représentation de ce dernier durant la procédure de première instance. Une procuration figure par ailleurs dans le dossier, produite au stade de la conciliation, valable globalement pour le litige opposant les parties. Dans ces circonstances, l'appelante contrevient au principe de la bonne foi, en se prévalant d'un potentiel défaut de procuration du conseil de l'intimé uniquement au stade de l'appel.</w:t>
      </w:r>
    </w:p>
    <w:p>
      <w:r>
        <w:rPr>
          <w:b/>
        </w:rPr>
        <w:t>E. 3</w:t>
      </w:r>
    </w:p>
    <w:p>
      <w:r>
        <w:t>L'appelante fait grief au Tribunal d'avoir procédé à une constatation lacunaire et inexacte des faits et d'avoir violé l'art. 319 CO en ayant retenu que les parties n'avaient pas été liées par un contrat de travail.</w:t>
      </w:r>
    </w:p>
    <w:p>
      <w:r>
        <w:t>Elle relève que l'intimé n'a fourni aucune pièce attestant de son salaire (cette question n'ayant pas été alléguée et n'étant apparue que lors de l'audition de E______), que le Tribunal a retenu à tort qu'elle avait signé les quittances produites, alors que celles-ci comportaient la signature de l'intimé, que ce dernier et G______ avaient "entrepris les démarches afin de déposer une demande d'autorisation de séjour" en sa faveur. Les premiers juges n'ont pas tenu compte des déclarations de E______, selon lesquelles elle avait accepté qu'un "employé engage un employé" et qu'elle avait appris que l'appelante était l'employée de l'intimé, ni du fait que A______ n'apparaissait pas sur la liste des personnes travaillant à titre indépendant au sein du cabinet de physiothérapie (capture d'écran du site internet). Il ressortait, par ailleurs, de la photographie du contrat de travail prise avant qu'il ne soit déchiré que le document prévoyait son engagement en qualité de masseuse dès le 3 août 2020 pour une durée indéterminée, à raison de 20 heures par semaine, avec temps d'essai de 3 mois et 4 semaines de vacances par année.</w:t>
      </w:r>
    </w:p>
    <w:p>
      <w:r>
        <w:t>De plus, elle se trouvait dans un rapport de subordination organisationnel et économique, puisque, venant d'arriver en Suisse et ne disposant pas d'une patientèle, elle traitait les patients de l'intimé, qui l'informait quotidiennement des patients à prendre en charge, que ce dernier lui versait un salaire et qu'il n'avait pas établi qu'elle aurait loué une salle. Il ressortait par ailleurs de l'existence du "contrat de travail déchiré" que les parties avaient eu l'intention de conclure un contrat de travail.</w:t>
      </w:r>
    </w:p>
    <w:p>
      <w:r>
        <w:t>- 12/18 -</w:t>
      </w:r>
    </w:p>
    <w:p>
      <w:r>
        <w:t>C/645/2022</w:t>
      </w:r>
    </w:p>
    <w:p>
      <w:r>
        <w:t>L'intimé relève, pour sa part, que l'appelante tient des propos contradictoires pour les besoins de la cause, dans la mesure où, dans sa demande du 24 mai 2022, elle a allégué qu'il lui avait fait signer des quittances sur lesquelles était inscrit "rétrocession" et que, dans ses déterminations complémentaires du 1er novembre 2022, elle avait allégué n'avoir jamais vu les quittances qu'il avait produites. En tout état, elle avait admis qu'il lui avait remis des montants variables, notamment, pour lui venir en aide, un montant de 1'000 fr. pour le mois de mai 2020 au lieu des 595 fr. qu'il lui devait, ce que celle-ci – de mauvaise foi en prétendant le contraire – ne pouvait ignorer, puisque la quittance y relative comportait l'indication "595 brutos". Animé par une démarche sincère d'aider l'appelante à régulariser sa situation, il lui avait fourni les informations relatives à une demande d'autorisation de séjour et l'avait aidée à trouver un travail à titre indépendant. Il n'avait jamais affirmé vouloir se charger des démarches pour déposer une telle demande. S'agissant des déclarations de E______, l'appelante omettait d'indiquer que la témoin avait corrigé ses propos, soulignant que l'intimé était bien indépendant, qu'elle l'avait autorisé à engager l'appelante aux mêmes conditions que les siennes propres et qu'elle était rémunérée au moyen de rétrocessions. L'intimé ignorait la provenance du contrat de travail non signé produit par l'appelante. Il n'avait exercé aucun contrôle sur les prestations fournies par cette dernière. Les quittances qu'il avait produites faisaient état de la location d'une salle.</w:t>
      </w:r>
    </w:p>
    <w:p>
      <w:r>
        <w:rPr>
          <w:b/>
        </w:rPr>
        <w:t>E. 3.1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Pour ce faire,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4A_496/2022 du</w:t>
      </w:r>
    </w:p>
    <w:p>
      <w:r>
        <w:rPr>
          <w:b/>
        </w:rPr>
        <w:t>E. 3.2</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Les quatre éléments constitutifs du contrat de travail sont les suivants: a) une prestation personnelle de travail, b) la mise à disposition par le travailleur de son temps pour une durée déterminée ou indéterminée, c) un rapport de subordination, et d) un salaire (arrêts du Tribunal fédéral 4A_53/2021 du 21 septembre 2021 consid. 5.1.3; 4A_64/2020 du 6 août 2020 consid. 6.1 et les arrêts cités; 4A_10/2017 précité consid. 3.1; WYLER/HEINZER, Droit du travail, 2019, p. 2 ss; MEIER, Commentaire Romand, CO I, 2021, n. 8 ss ad art. 319 CO). Le contrat de travail se distingue avant tout des autres contrats de prestation de services, en particulier du mandat, par l'existence d'un lien de subordination,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(ATF 125 III 78 consid. 4; 121 I 259 consid. 3a; arrêts du Tribunal fédéral 4A_53/2021 du 21 septembre 2021 consid. 5.1.3; 4A_64/2020 précité consid. 6.2 et 6.3.1;</w:t>
      </w:r>
    </w:p>
    <w:p>
      <w:r>
        <w:t>- 14/18 -</w:t>
      </w:r>
    </w:p>
    <w:p>
      <w:r>
        <w:t>C/645/2022 4A_10/2017 précité consid. 3.1; 4A_200/2015 du 3 septembre 2015 consid. 4.2.1 et les arrêts cités).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op. cit., n. 15 ad art. 319 CO). Les critères formels, tels l'intitulé du contrat, les déclarations des parties ou les déductions aux assurances sociales, ne sont pas à eux seuls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et le fait que l'employeur supporte le risque économique et que le travailleur abandonne à un tiers l'exploitation de sa prestation, en contrepartie d'un revenu assuré.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 interdiction d'exercer toute activité économique similaire (arrêts du Tribunal fédéral 4A_53/2021 du 21 septembre 2021 consid. 5.1.3; 4A_64/2020 précité consid. 6.3.1 à 6.3.6 et les arrêts cités).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Seul l'examen de l'ensemble des circonstances du cas concret permet de déterminer si</w:t>
      </w:r>
    </w:p>
    <w:p>
      <w:r>
        <w:t>- 15/18 -</w:t>
      </w:r>
    </w:p>
    <w:p>
      <w:r>
        <w:t>C/645/2022 le travail est effectué de manière dépendante ou indépendante (ATF 130 III 213 consid. 2.1; 129 III 664 consid. 3.2 p. 668; 128 III 129 consid. 1a/aa; 112 II 41 consid. 1a/aa p. 46; arrêts du Tribunal fédéral 4A_592/2016 du 16 mars 2017 consid. 2.1; 4A_602/2013 du 27 mars 2014 consid. 3.2; 4A_194/2011 du 5 juillet 2011 consid. 5.6.1; MEIER, op. cit., n° 14 ad art. 319 CO). La preuve de l'existence d'un contrat de travail incombe à la partie qui s'en prévaut pour en déduire un droit (art. 8 CC; ATF 125 III 78 consid. 3b; arrêt du Tribunal fédéral 4A_504/2015 du 28 janvier 2016 consid. 2.1.2, in JAR 2017 p. 123).</w:t>
      </w:r>
    </w:p>
    <w:p>
      <w:r>
        <w:rPr>
          <w:b/>
        </w:rPr>
        <w:t>E. 3.3</w:t>
      </w:r>
    </w:p>
    <w:p>
      <w:r>
        <w:t>Lorsque, comme en l'espèce, la procédure simplifiée est applicable, le tribunal, contrairement à ce qui est le cas lorsque la procédure ordinaire est applicable, doit admettre les faits et moyens de preuve nouveaux jusqu'aux délibérations. Il n'est, par ailleurs, pas lié par les allégations des parties : il doit tenir compte des faits juridiquement pertinents, même si les parties ne les ont pas invoqués à l'appui de leurs conclusions (arrêt du Tribunal fédéral 4A_428/2016 du 15 février 2017 consid. 3.2.2.2). Cette obligation s'étend notamment aux faits dits exorbitants, soit ceux qui, sans avoir été allégués par l'une ou l'autre des parties, ressortent de l'instruction de la cause et en particulier de l'administration des preuves (arrêt du Tribunal fédéral 4A_388/2021 du 14 décembre 2021 consid. 5.2 et 5.2.2, cité in CPC commenté ad art. 247 CPC; arrêt du Tribunal fédéral 4A_428/2016 précité, consid. 3.2.2; HEINZMANN, PC-CPC, 2021, n. 7 ad art. 247 CPC). Le tribunal n'est par ailleurs pas tenu de rendre les parties spécifiquement attentives aux faits pertinents non allégués apparus lors de l'instruction, ni de leur donner formellement l'occasion de se déterminer à leur sujet, à plus forte raison lorsqu'elles sont assistées d'un avocat (arrêt du Tribunal fédéral 4A_388/2021 précité consid. 5.2.2).</w:t>
      </w:r>
    </w:p>
    <w:p>
      <w:r>
        <w:rPr>
          <w:b/>
        </w:rPr>
        <w:t>E. 3.4</w:t>
      </w:r>
    </w:p>
    <w:p>
      <w:r>
        <w:t>En l'occurrence, le raisonnement du Tribunal est exempt de toute critique. En effet, c'est à raison que les premiers juges ont tenu compte des déclarations de E______ – que rien ne permet de mettre en doute et selon lesquelles l'intimé percevait une rémunération mensuelle moyenne de 5'681 fr. – et qu'ils ont considéré qu'il n'apparaissait dès lors pas envisageable que les parties aient convenu d'un salaire de 4'000 fr. par mois. Lors de son audition, l'appelante a d'ailleurs déclaré qu'il avait été prévu qu'elle soit payée à l'heure. Si les quittances produites par l'intimé ne sont certes pas signées par l'appelante, mais par l'intimé, il sera néanmoins retenu que, selon ses propres allégations, elle a bien eu connaissance de quittances portant la mention du terme "rétrocession", ainsi que des montants qui lui ont été remis en espèces, sans qu'elle n'émette de réserve et qui, selon E______, correspondaient aux prestations qu'elle avait fournies. De ce fait, il sera considéré, à l'instar du Tribunal, que les montants remis à l'appelante correspondaient à l'accord des parties, soit une rémunération à l'heure en fonction des prestations effectuées, à l'exclusion d'une rémunération mensualisée.</w:t>
      </w:r>
    </w:p>
    <w:p>
      <w:r>
        <w:t>- 16/18 -</w:t>
      </w:r>
    </w:p>
    <w:p>
      <w:r>
        <w:t>C/645/2022</w:t>
      </w:r>
    </w:p>
    <w:p>
      <w:r>
        <w:t>Ces quittances s'inscrivent d'ailleurs en faux avec les allégations de l'appelante selon lesquelles elle aurait travaillé de manière régulière, selon un horaire correspondant à huit heures par jours, cinq jours par semaine durant plusieurs mois. Ils permettent au contraire de constater une irrégularité dans les heures effectuées. Ces décomptes font également état de déductions pour mise à disposition de locaux ("salle"), ce qui est plus compatible avec un statut d'indépendant qu'avec un statut d'employé.</w:t>
      </w:r>
    </w:p>
    <w:p>
      <w:r>
        <w:t>S'agissant de l'obtention d'un titre de séjour, les messages échangés entre l'intimé et l'appelante ou G______ ne font pas mention de démarches effectuées par l'intimé en qualité d'employeur ou d'un engagement pris en ce sens, mais plutôt d'indications ou de conseils donnés par ce dernier sur la manière dont l'appelante devait compléter les documents y relatifs.</w:t>
      </w:r>
    </w:p>
    <w:p>
      <w:r>
        <w:t>S'agissant de l'activité déployée par l'appelante, l'intimé ne remet pas en cause les considérations du Tribunal selon lesquelles cette dernière, arrivée alors récemment en Suisse et ne disposant vraisemblablement pas d'une patientèle, avait traité des patients de l'intimé ou du cabinet. Toutefois, comme l'ont, à raison, relevé les premiers juges, cette délégation ne permet pas d'inférer l'existence d'un contrat de travail, celle-ci pouvant également être fondée sur un contrat de (sous-)mandat. De plus, l'appelante n'a pas apporté la preuve d'éventuelles instructions données ou d'un contrôle exercé par l'intimé, tant s'agissant des prestations effectuées que sur le plan organisationnel. Le fait qu'elle ait été amenée à apporter ses linges – comme l'a retenu le Tribunal et n'a pas été contesté par l'appelante – plaide également en faveur d'une activité à titre d'indépendante. De même, E______ a déclaré qu'elle avait accepté que l'intimé engage l'appelante aux mêmes conditions que celles dont il bénéficiait, soit celles d'un collaborateur indépendant, et que cette dernière avait suivi le même protocole que l'intimé à l'issue des séances (dépôt du décompte au secrétariat). L'appelante évoque enfin elle-même avoir traité des patients de l'intimé, mais également du cabinet, de sorte que l'assignation du seul intimé en qualité d'employeur n'est pas cohérente avec ses propres allégués.</w:t>
      </w:r>
    </w:p>
    <w:p>
      <w:r>
        <w:t>Rien ne saurait être déduit de la capture d'écran du site internet du cabinet produite, celle-ci datant de 2022, soit bien après l'activité déployée par l'appelante au sein du cabinet. Il sera, en tout état, relevé que, quand bien même cette capture correspondrait au site internet du cabinet au moment des faits litigieux, le fait que cette dernière n'apparaisse pas sur la liste des personnes travaillant à titre indépendant au sein du cabinet ne constitue pas nécessairement un indice de sa qualité d'employée, dès lors que, selon les explications fournies par E______, les thérapeutes indépendants n'apparaissaient pas automatiquement sur le site internet, mais devaient s'adresser à une personne chargée du marketing pour y être</w:t>
      </w:r>
    </w:p>
    <w:p>
      <w:r>
        <w:t>- 17/18 -</w:t>
      </w:r>
    </w:p>
    <w:p>
      <w:r>
        <w:t>C/645/2022 inscrits. Il sera également relevé que la capture d'écran produite mentionne également des physiothérapeutes, lesquels déploient leur activité au sein du cabinet en qualité de salariés selon E______, de sorte que, contrairement à ce que prétend l'appelante, le site internet ne présenterait pas seulement les collaborateurs indépendants.</w:t>
      </w:r>
    </w:p>
    <w:p>
      <w:r>
        <w:t>Le fait qu'un document intitulé "contrat de travail" aurait existé, mentionnant le nom des parties, – dont l'intimé prétend ne rien savoir alors que l'appelante soutient que l'intimé l'aurait rédigé et aurait voulu la contraindre à le signer sans le lire, trois mois après le début de leur relation – est sans portée en ce sens que l'appelante elle-même admet que les parties ne se seraient jamais mises d'accord sur ce texte qui ne peut donc être considéré comme le reflet de leur convention. Tout au plus un tel document, s'il a bien existé, peut-il constituer un indice de pourparlers contractuels entre les parties à un certain moment. A cet égard on peut relever que ce document fait état d'un emploi à temps partiel, alors que l'appelante fonde ses prétentions sur une activité déployée à plein temps; sa teneur ne correspond donc même pas au contenu allégué par l'appelante du contrat de travail prétendument conclu entre les parties sur lequel elle fonde sa demande.</w:t>
      </w:r>
    </w:p>
    <w:p>
      <w:r>
        <w:t>Finalement, la plaignante n'aborde pas les divers indices énumérés par la jurisprudence et la doctrine pour étayer l'existence d'un contrat de travail, comme l'éventuelle réglementation de ses frais, sa déclaration aux assurances sociales, le droit de se constituer sa propre patientèle, le statut de cette patientèle personnelle par rapport à l'intimé et au cabinet, une éventuelle interdiction de travailler à titre indépendant ou pour une structure tierce, ou encore une clause de prohibition de concurrence. L'absence d'une telle réglementation entre les parties, typique du contrat de travail, est un indice supplémentaire en faveur d'une position indépendante de l'appelante.</w:t>
      </w:r>
    </w:p>
    <w:p>
      <w:r>
        <w:t>Par conséquent, c'est à raison que le Tribunal a considéré que l'appelante avait échoué à démontrer l'existence d'un contrat de travail conclu entre les parties. 4. L'appelante n'ayant formulé aucun autre grief à l'encontre du jugement entrepris, celui-ci sera confirmé. 5. Il ne sera pas perçu de frais pour l'appel, dont la valeur litigieuse est inférieure à 50'000 fr. (art. 114 let. c et 116 CPC; art. 19 al. 3 let. c LaCC; art. 71 RTFMC). Il n'est pas alloué de dépens dans les causes soumises à la juridiction des prud’hommes (art. 22 al. 2 LaCC). * * * * *</w:t>
      </w:r>
    </w:p>
    <w:p>
      <w:r>
        <w:t>- 18/18 -</w:t>
      </w:r>
    </w:p>
    <w:p>
      <w:r>
        <w:t>C/645/2022 PAR CES MOTIFS, La Chambre des prud'hommes : A la forme : Déclare recevable l'appel interjeté le 31 janvier 2023 par A______ contre les chiffres 2 à 4 du dispositif du jugement JTPH/380/2022 rendu le 21 décembre 2022 par le Tribunal des prud'hommes dans la cause C/645/2022. Au fond : Confirme le jugement entrepris. Déboute les parties de toutes autres conclusions. Sur les frais : Dit que la procédure est gratuite. Dit qu'il n'est pas alloué de dépens. Siégeant : Monsieur Jean REYMOND, président; Madame Fiona MAC PHAIL, Monsieur Roger EMMENEGGER,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novembre 2023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w:t>
      </w:r>
    </w:p>
    <w:p>
      <w:r>
        <w:t>- 13/18 -</w:t>
      </w:r>
    </w:p>
    <w:p>
      <w:r>
        <w:t>C/645/2022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Le principe de la confiance permet ainsi d'imputer à une partie le sens objectif de sa déclaration ou de son comportement, même si celui-ci ne correspond pas à sa volonté intime (ATF 144 III 93 consid. 5.2.3; arrêt du Tribunal fédéral 4A_496/2022 du 6 novembre 2023 consid. 4.2). La qualification juridique d'un contrat est une question de droit (ATF 131 III 217 consid. 3; arrêt du Tribunal fédéral 4A_602/2013 du 27 mars 2014 consid. 3.1). Le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La dénomination d'un contrat n'est pas déterminante pour évaluer sa nature juridique (ATF 129 III 664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