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CAPH/30/2018 vom 30. Juni 2017</w:t>
      </w:r>
    </w:p>
    <w:p>
      <w:r>
        <w:t>GE Cour de justice, 2017-06-30, FR</w:t>
      </w:r>
    </w:p>
    <w:p>
      <w:r>
        <w:rPr>
          <w:b/>
        </w:rPr>
        <w:t xml:space="preserve">Quelle: </w:t>
      </w:r>
      <w:r>
        <w:t>https://mcp.opencaselaw.ch/entscheid/ge_gerichte_CAPH_30_2018</w:t>
      </w:r>
    </w:p>
    <w:p>
      <w:r>
        <w:t>FR: GE_GERICHTE CAPH/30/2018 du 30 juin 2017</w:t>
      </w:r>
    </w:p>
    <w:p>
      <w:r>
        <w:t>IT: GE_GERICHTE CAPH/30/2018 del 30 giugno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Ecrit et motivé, l'appel doit être introduit auprès de l'instance d'appel dans les 30 jours à compter de la notification de la décision motivée (art. 311 al. 1 CPC). Formé en temps utile et selon la forme prescrite par la loi auprès de l'autorité compétente (art. 124 let. a LOJ), l'appel est recevable (art. 130, 131, 142 al. 3, 145 al. 1 let. b et 311 al. 1 CPC).</w:t>
      </w:r>
    </w:p>
    <w:p>
      <w:r>
        <w:rPr>
          <w:b/>
        </w:rPr>
        <w:t>E. 1.2</w:t>
      </w:r>
    </w:p>
    <w:p>
      <w:r>
        <w:t>La Chambre de céans revoit la cause en fait et en droit avec un plein pouvoir d'examen (art. 310 CPC). Compte tenu de la valeur litigieuse supérieure à 30'000 fr., la maxime des débats s'applique (art. 55 al. 1 et 247 al. 2 let. b ch. 2 CPC).</w:t>
      </w:r>
    </w:p>
    <w:p>
      <w:r>
        <w:rPr>
          <w:b/>
        </w:rPr>
        <w:t>E. 2</w:t>
      </w:r>
    </w:p>
    <w:p>
      <w:r>
        <w:t>Les parties ne contestent pas, à juste titre, la compétence internationale des juridictions suisses pour trancher le présent litige, dans la mesure où l'intimé accomplissait habituellement son travail à Genève (art. 19 Convention [de Lugano] concernant la compétence judiciaire et l'exécution des décisions en matière civile et commerciale du 16 septembre 1988 [CL - RS 0.275.11]). La compétence de la Cour de céans est ainsi donnée aussi bien à raison de la matière que du lieu (art. 124 let. a LOJ [RS/GE E 2 05] et art. 1 al. 1 let. a LTPH [RS/GE E 3 10]). Le droit suisse est en outre applicable, faute d'élection de droit (art. 117 LDIP).</w:t>
      </w:r>
    </w:p>
    <w:p>
      <w:r>
        <w:rPr>
          <w:b/>
        </w:rPr>
        <w:t>E. 3</w:t>
      </w:r>
    </w:p>
    <w:p>
      <w:r>
        <w:t>A titre préalable, l'intimé sollicite l'audition des douze témoins que le Tribunal a refusé d'entendre, ainsi que la ré-audition des témoins O______ et P______, pour le cas où la Cour ne s'estimerait pas suffisamment renseignée sur l'existence d'une pratique au sein de A______ consistant à verser aux employés une indemnité de départ correspondant à un mois de salaire par année d'ancienneté.</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w:t>
      </w:r>
    </w:p>
    <w:p>
      <w:r>
        <w:t>- 8/14 -</w:t>
      </w:r>
    </w:p>
    <w:p>
      <w:r>
        <w:t>C/15238/2016-3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w:t>
      </w:r>
    </w:p>
    <w:p>
      <w:r>
        <w:rPr>
          <w:b/>
        </w:rPr>
        <w:t>E. 3.2</w:t>
      </w:r>
    </w:p>
    <w:p>
      <w:r>
        <w:t>En l'occurrence, les éléments figurant au dossier sont suffisants pour établir les faits pertinents, étant relevé que l'intimé ne conteste pas que les témoins qu'il souhaite faire entendre ou réentendre ne seraient pas en mesure de fournir des informations concernant la pratique des severances après la restructuration intervenue au sein de l'appelante en 2006. La cause étant en état d'être jugée, il ne sera pas donné suite aux conclusions de l’intimé tendant à la réouverture des enquêtes.</w:t>
      </w:r>
    </w:p>
    <w:p>
      <w:r>
        <w:rPr>
          <w:b/>
        </w:rPr>
        <w:t>E. 4</w:t>
      </w:r>
    </w:p>
    <w:p>
      <w:r>
        <w:t>L'appelante conteste devoir verser une indemnité de départ à l'intimé.</w:t>
      </w:r>
    </w:p>
    <w:p>
      <w:r>
        <w:rPr>
          <w:b/>
        </w:rPr>
        <w:t>E. 4.1</w:t>
      </w:r>
    </w:p>
    <w:p>
      <w:r>
        <w:t>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consid.5.2; 129 III 276 consid. 2). Le droit du travail a érigé un droit général à l’égalité de traitement dans les rapports de travail, fondé sur l’art. 328 CO (REHBINDER, Commentaire bernois, n. 8 ad art. 328 CO ; WYLER/HEINZER, Droit du travail, 3ème éd., 2014, p. 369).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(WYLER, 2ème éd., 2008, p. 743).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(WYLER, op. cit., p. 743).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w:t>
      </w:r>
    </w:p>
    <w:p>
      <w:r>
        <w:t>- 9/14 -</w:t>
      </w:r>
    </w:p>
    <w:p>
      <w:r>
        <w:t>C/15238/2016-3 Le principe de l'égalité de traitement n'interdit pas à l'employeur de modifier sa pratique en matière de prestations discrétionnaires au fil du temps: en effet, une telle adaptation ne se traduit pas par une discrimination d'une minorité de travailleurs déterminés par rapport à la majorité, mais par l'application d'un nouveau traitement uniforme à l'ensemble des collaborateurs à partir d'un moment donné. Ne pas admettre de telles adaptations reviendrait à la négation du caractère discrétionnaire des prestations en cause. Le principe de l'égalité de traitement ne postule pas non plus une égalité absolue: des différences de traitement sont admissibles si elles reposent sur des motifs raisonnables, respectivement des motifs qui ne sont pas dénués de toute pertinence. Le Tribunal fédéral insiste sur la marge d'appréciation importante qu'il convient de reconnaître à l'employeur dans la définition des critères qu'il juge pertinents : une décision de l'employeur même non fondée objectivement et arbitraire n'est attentatoire à la personnalité du travailleur que si elle traduit une dépréciation blessante de sa personne. L'âge, l'ancienneté ou le caractère résilié ou non du contrat entrent notamment dans les critères de distinction admissibles (WYLER, op. cit., p. 372-373). Selon le principe de la confiance, le juge doit rechercher comment une déclaration ou une attitude pouvait être comprise de bonne foi par son destinataire en fonction de l'ensemble des circonstances (interprétation dite objective; cf. ATF 132 III 268 consid. 2.3.2, 132 III 626 consid. 3.1).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On retient généralement qu’une série de prestations est soumise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(WYLER, op. cit., p. 744; ATF 129 III 276 consid. 3.1).</w:t>
      </w:r>
    </w:p>
    <w:p>
      <w:r>
        <w:rPr>
          <w:b/>
        </w:rPr>
        <w:t>E. 4.2</w:t>
      </w:r>
    </w:p>
    <w:p>
      <w:r>
        <w:t>En l'espèce, il n'est pas contesté que le droit à des indemnités de départ n'est ni expressément prévu dans le contrat de travail de l'intimé, ni dans un règlement interne de l'appelante. Il convient donc de se demander si, comme l'a retenu le Tribunal, le versement d'une telle indemnité (severance) correspond à une pratique de l’appelante dont l'intimé peut se prévaloir.</w:t>
      </w:r>
    </w:p>
    <w:p>
      <w:r>
        <w:t>- 10/14 -</w:t>
      </w:r>
    </w:p>
    <w:p>
      <w:r>
        <w:t>C/15238/2016-3 Il résulte de divers éléments du dossier, notamment les témoignages et le courriel de la directrice des ressources humaines du 24 mai 2016, que la plupart, voire la totalité des employés de l’appelante qui ont été licenciés en raison d’une suppression de poste, dans le cadre notamment d’une restructuration, ont bénéficié d’une indemnité de départ. Dans la mesure où aucun élément ne devait conduire l’intimé à considérer que la pratique des severances avait été supprimée, il y a lieu d’admettre, en vertu du principe d'égalité de traitement, qu’il était fondé à penser qu’il toucherait une indemnité dans l’hypothèse où son contrat de travail prendrait fin en cas de refus du transfert proposé par l’employeur. Le principe du droit au versement d’une indemnité de départ est dès lors acquis. Cet élément faisait implicitement partie intégrante de son contrat de travail. Reste cependant à déterminer le montant de l'indemnité à laquelle l'intimé peut prétendre. La severance était généralement calculée, du moins jusqu’à la restructuration intervenue en 2006, en multipliant le salaire mensuel par le nombre d’années d’ancienneté. Cependant, aucun élément du dossier ne permet de retenir que l’appelante aurait continué de verser des indemnités fixées de cette manière depuis la réorganisation de l'entreprise en 2006. Aucun des témoins travaillant encore actuellement pour l’appelante n’a mentionné de cas récent d'anciens collègues qui auraient reçu une indemnité calculée de la sorte. Le témoin O______ a certes déclaré qu'elle pensait que les collaborateurs de la compagnie avaient pu bénéficier, avant le mois d'avril 2017, d'une indemnité correspondant à un mois de salaire par année de service, mais elle n'en était pas certaine. En outre, elle n'a fait référence à aucun employé en particulier et n'a pas précisé la période à laquelle ces indemnités auraient été versées, de sorte que ses déclarations ne sont pas déterminantes. Par courriel du 16 mai 2016, l'intimé a demandé à l'appelante quel était le montant de l'indemnité de départ qu'elle comptait verser aux travailleurs concernés par le transfert envisagé. Cela tend à démontrer qu'il avait certes connaissance de l'existence de la pratique de son employeur, mais laisse également supposer qu'il avait des doutes sur la quotité de l'indemnité qui lui était due. Le fait qu'il n'ait pas spontanément demandé le même traitement que ses anciens collègues implique que, de bonne foi, il ne s'attendait pas nécessairement à avoir droit à une indemnité correspondant à un mois de salaire par année d'ancienneté. Sur demande de certains employés concernés, l’appelante a clairement indiqué, le 20 mai 2016, qu’il y avait eu des réorganisations au cours des neuf dernières années, de sorte que l’indemnité n’était plus calculée comme par le passé, mais représentait désormais deux semaines de salaire, soit un demi-salaire mensuel, par</w:t>
      </w:r>
    </w:p>
    <w:p>
      <w:r>
        <w:t>- 11/14 -</w:t>
      </w:r>
    </w:p>
    <w:p>
      <w:r>
        <w:t>C/15238/2016-3 année de service. Rien ne porte à croire que le changement annoncé ne viserait que l'intimé, puisqu'à tout le moins un autre collègue, X______, a reçu la même information. Certes, l’employeur n’a pas donné cette information avant ou au moment même de l’annonce, le 28 avril 2016, de la réorganisation envisagée. Cela étant, rien n'oblige l'employeur à annoncer un changement de pratique en matière d'indemnités de départ avant qu'une restructuration ne soit prévue. Les employés concernés ont eu connaissance des nouvelles conditions en matière de severances durant le délai de réflexion (échéant au 3 juin 2016) qui leur a été fixé pour décider d’accepter ou non le transfert des rapports de travail. Contrairement à ce qu'a retenu le Tribunal, cette information ne peut être considérée comme tardive, puisqu'elle a été donnée peu après que les employés ont été informés de la restructuration. Le fait que le témoin O______ n'ait pas été informée du changement de pratique avant le mois d'avril 2017 n'est pas déterminant, puisqu'elle-même n'était pas concernée par la restructuration prévue en 2016. Contrairement aux affaires jugées par la Cour en 2008 et 2009 et dont l'intimé se prévaut, l’annonce du changement dans la pratique des severances a été effectuée de manière claire auprès des personnes concernées. La situation de l'intimée est ainsi différente. Il s'ensuit que l'intimé, clairement informé des nouvelles conditions applicables, peut uniquement prétendre à un demi-salaire mensuel par année d'ancienneté, soit ce qui lui a été proposé par courriel du 20 mai 2016. Retenir une indemnité plus élevée - sous couvert de la protection de la confiance et de l’égalité de traitement avec des situations passées - reviendrait à interdire à l'appelante de changer une pratique, même ancienne, ce qui va à l'encontre du caractère discrétionnaire de l'indemnité de départ et du principe de la liberté contractuelle et ferait obstacle à la prise en compte de circonstances telles que la situation économique de l’entreprise et les changements intervenus dans celle-ci au fil des ans. Compte tenu de ce qui précède, l'indemnité due par l'appelante en faveur de l'intimé sera fixée à 134'332 fr. (12'212 fr. / 2 x 22 ans). Le dies a quo des intérêts moratoires fixé par le Tribunal n'étant pas critiqué, il sera confirmé. Le chiffre 2 du dispositif du jugement entrepris sera modifié en conséquence.</w:t>
      </w:r>
    </w:p>
    <w:p>
      <w:r>
        <w:rPr>
          <w:b/>
        </w:rPr>
        <w:t>E. 5.1</w:t>
      </w:r>
    </w:p>
    <w:p>
      <w:r>
        <w:t>Si l’instance d’appel statue à nouveau, elle se prononce sur les frais de première instance (art. 318 al. 3 CPC). Le montant des frais judiciaires, arrêté à 2'690 fr. en première instance conformément aux dispositions légales applicables (art. 69, 73ss RTFMC) n’est pas contesté en appel et sera donc confirmé.</w:t>
      </w:r>
    </w:p>
    <w:p>
      <w:r>
        <w:t>- 12/14 -</w:t>
      </w:r>
    </w:p>
    <w:p>
      <w:r>
        <w:t>C/15238/2016-3 Compte tenu de l’issue du litige, l’intimé ayant obtenu la moitié de ses conclusions, lesdits frais seront répartis par moitié entre les parties (art. 106 al. 2 CPC). L’appelante sera par conséquent condamnée à rembourser la moitié de cette somme, soit 1'345 fr., à l’intimé, qui en a fait l’avance.</w:t>
      </w:r>
    </w:p>
    <w:p>
      <w:r>
        <w:rPr>
          <w:b/>
        </w:rPr>
        <w:t>E. 5.2</w:t>
      </w:r>
    </w:p>
    <w:p>
      <w:r>
        <w:t>Les frais judiciaires d'appel, arrêtés à 2'400 fr., sont entièrement couverts par l'avance de frais fournie par l'appelante, qui demeure acquise à l'Etat de Genève (art. 111 al. 1 CPC; art. 19 al. 3 let. c LaCC; art. 71 RTFMC). Compte tenu de l'issue du litige, ils seront également répartis par moitié entre les parties. L'intimé sera en conséquence condamné à verser 1'200 fr. à l'appelante à ce titre. Il n'est pas alloué de dépens (art. 22 al. 2 LaCC). * * * * *</w:t>
      </w:r>
    </w:p>
    <w:p>
      <w:r>
        <w:t>- 13/14 -</w:t>
      </w:r>
    </w:p>
    <w:p>
      <w:r>
        <w:t>C/15238/2016-3 PAR CES MOTIFS, La Chambre des prud'hommes, groupe 3 : A la forme : Déclare recevable l'appel formé le 4 septembre 2017 par A______ contre le jugement JTPH/275/2017 rendu le 30 juin 2017 par le Tribunal des prud'hommes dans la cause C/15238/2016. Au fond : Annule les chiffres 2 et 3 du dispositif du jugement entrepris et, statuant à nouveau sur ces points : Condamne A______ à verser à B______ la somme de 134'332 fr., avec intérêts à 5% l'an dès le 4 juillet 2016. Arrête les frais judiciaires de première instance à 2'690 fr., les met à la charge de chacune des parties par moitié et les compense avec l'avance fournie, qui reste acquise à l'Etat de Genève. Condamne A______ à verser à B______ la somme de 1'345 fr. à titre de frais judiciaires de première instance. Confirme le jugement entrepris pour le surplus. Déboute les parties de toutes autres conclusions. Sur les frais : Arrête les frais judiciaires d'appel à 2'400 fr., les met à la charge des parties à raison de la moitié chacune et les compense avec l'avance fournie, qui reste acquise à l'Etat de Genève. Condamne B______ à verser 1'200 fr. à A______ à ce titre.</w:t>
      </w:r>
    </w:p>
    <w:p>
      <w:r>
        <w:t>- 14/14 -</w:t>
      </w:r>
    </w:p>
    <w:p>
      <w:r>
        <w:t>C/15238/2016-3</w:t>
      </w:r>
    </w:p>
    <w:p>
      <w:r>
        <w:t>Siégeant : Monsieur Ivo BUETTI, président; Monsieur Claudio PANNO, juge employeur; Madame Agnès MINDER JAEGER,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