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CAPH/2/2012 vom 10. Januar 2012</w:t>
      </w:r>
    </w:p>
    <w:p>
      <w:r>
        <w:t>GE Cour de justice, 2012-01-10, FR</w:t>
      </w:r>
    </w:p>
    <w:p>
      <w:r>
        <w:rPr>
          <w:b/>
        </w:rPr>
        <w:t xml:space="preserve">Quelle: </w:t>
      </w:r>
      <w:r>
        <w:t>https://mcp.opencaselaw.ch/entscheid/ge_gerichte_CAPH_2_2012</w:t>
      </w:r>
    </w:p>
    <w:p>
      <w:r>
        <w:t>FR: GE_GERICHTE CAPH/2/2012 du 10 janvier 2012</w:t>
      </w:r>
    </w:p>
    <w:p>
      <w:r>
        <w:t>IT: GE_GERICHTE CAPH/2/2012 del 10 gennaio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cause est régie par le nouveau droit de procédure.</w:t>
      </w:r>
    </w:p>
    <w:p>
      <w:r>
        <w:rPr>
          <w:b/>
        </w:rPr>
        <w:t>E. 2</w:t>
      </w:r>
    </w:p>
    <w:p>
      <w:r>
        <w:t>Selon l'art. 308 CPC, l'appel est recevable contre les décisions finales et incidentes de première instance, lorsque, dans les affaires patrimoniales, la valeur litigieuse au dernier état des conclusions est de 10'000 fr. au moins.</w:t>
      </w:r>
    </w:p>
    <w:p>
      <w:r>
        <w:t>L'appel peut être formé pour violation du droit et constatation inexacte des faits (art. 310 CPC).</w:t>
      </w:r>
    </w:p>
    <w:p>
      <w:r>
        <w:t>L'appel, écrit et motivé, est introduit auprès de l'instance d'appel dans les 30 jours à compter de la notification de la décision motivée (art. 311 al. 1 CPC).</w:t>
      </w:r>
    </w:p>
    <w:p>
      <w:r>
        <w:t>Les délais légaux et les délais fixés judiciairement ne courent pas du 15 juillet au 15 août (art. 145 CPC).</w:t>
      </w:r>
    </w:p>
    <w:p>
      <w:r>
        <w:t>Le présent appel, formé selon la forme et dans le délai prévus par la loi, est recevable.</w:t>
      </w:r>
    </w:p>
    <w:p>
      <w:r>
        <w:rPr>
          <w:b/>
        </w:rPr>
        <w:t>E. 3</w:t>
      </w:r>
    </w:p>
    <w:p>
      <w:r>
        <w:t>L'appelant reproche aux premiers juges d'avoir décliné leur compétence ratione materiae.</w:t>
      </w:r>
    </w:p>
    <w:p>
      <w:r>
        <w:rPr>
          <w:b/>
        </w:rPr>
        <w:t>E. 3.1</w:t>
      </w:r>
    </w:p>
    <w:p>
      <w:r>
        <w:t>Aux termes de l'art. 73 al. 1 LPP (RS 831.40), chaque canton désigne un tribunal qui connaît, en dernière instance cantonale, des contestations opposant</w:t>
      </w:r>
    </w:p>
    <w:p>
      <w:r>
        <w:t>- 5/7 -</w:t>
      </w:r>
    </w:p>
    <w:p>
      <w:r>
        <w:t>C/16771/2010-3 institutions de prévoyance, employeurs et ayants droit. Les décisions des tribunaux cantonaux peuvent être déférées au Tribunal fédéral des assurances par la voie du recours de droit administratif (art. 73 al. 4 LPP).</w:t>
      </w:r>
    </w:p>
    <w:p>
      <w:r>
        <w:t>A Genève, il s'agit de la Chambre des assurances sociales de la Cour de justice, qui statue en instance unique (art. 134 al. 1 let. b LOJ).</w:t>
      </w:r>
    </w:p>
    <w:p>
      <w:r>
        <w:t>Les autorités visées par l'art. 73 LPP sont compétentes, ratione materiae, pour trancher les contestations qui portent sur des questions spécifiques de la prévoyance professionnelle, au sens étroit ou au sens large.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En revanche, les voies de droit de l'art. 73 LPP ne sont pas ouvertes lorsque la contestation a un fondement juridique autre que le droit de la prévoyance professionnelle, même si elle devait avoir des effets relevant du droit de la prévoyance (sur l'ensemble de cette question, cf. MEYER-BLASER, Die Rechtsprechung von Eidgenössischem Versicherungsgericht und Bundesgericht zum BVG, in SZS 39/1995 p. 105 ss; ATF 122 III 57).</w:t>
      </w:r>
    </w:p>
    <w:p>
      <w:r>
        <w:t>La question de savoir si une problématique spécifique du droit de la prévoyance professionnelle se pose doit être résolue - conformément à la nature juridique de la demande - en se fondant sur les conclusions de la demande et sur les faits invoqués à l'appui des conclusions: le fondement de la demande est alors un critère décisif de distinction (SCHNEIDER/GEISER/GÄCHTER, Commentaire LPP et LFLP, Berne 2010, ad art. 73, n. 23).</w:t>
      </w:r>
    </w:p>
    <w:p>
      <w:r>
        <w:t>Le contrat de travail peut lui-même contenir des dispositions qui se rapportent au droit de la prévoyance. Il peut s'agir d'accords sur l'aménagement ou le financement de la prévoyance professionnelle (SCHNEIDER(GEISER/GÄCHTER, op, cit., ad art. 73, n. 57).</w:t>
      </w:r>
    </w:p>
    <w:p>
      <w:r>
        <w:rPr>
          <w:b/>
        </w:rPr>
        <w:t>E. 3.2</w:t>
      </w:r>
    </w:p>
    <w:p>
      <w:r>
        <w:t>En l'espèce, il est constant que l'appelant fonde ses prétentions sur une clause contenue dans son contrat de travail, tel que modifié suite à son affectation en Suisse, mais consacrée uniquement à des questions de plan de pension.</w:t>
      </w:r>
    </w:p>
    <w:p>
      <w:r>
        <w:t>Ces prétentions ont trait à l'étendue des prestations de prévoyance professionnelle, lors de la retraite de l'appelant. Les parties se divisent sur la question de l'origine des droits de celui-ci qui, selon lui, doit remonter à ses années de service en Belgique, et qui, selon l'intimée, date de l'affiliation à l'institution de prévoyance suisse.</w:t>
      </w:r>
    </w:p>
    <w:p>
      <w:r>
        <w:t>A supposer qu'elles soient fondées dans leur principe, les prétentions de l'appelant entraîneraient, pour en déterminer la quotité, des calculs d'ordre actuariel. Ceux-ci ne dérivent pas directement du contrat de travail. L'appelant n'en disconvient pas puisqu'il se réfère lui-même au certificat de prévoyance émanant de la caisse de pension pour procéder à la détermination de la créance qu'il allègue. Or ces calculs</w:t>
      </w:r>
    </w:p>
    <w:p>
      <w:r>
        <w:t>- 6/7 -</w:t>
      </w:r>
    </w:p>
    <w:p>
      <w:r>
        <w:t>C/16771/2010-3 ne peuvent qu'être fonction de règles relevant du droit de la prévoyance professionnelle. Il s'agit-là d'un critère décisif de distinction.</w:t>
      </w:r>
    </w:p>
    <w:p>
      <w:r>
        <w:t>Il s'ensuit que les prétentions de l'appelant sont exorbitantes du contrat de travail.</w:t>
      </w:r>
    </w:p>
    <w:p>
      <w:r>
        <w:t>C'est ainsi à raison que le Tribunal des prud'hommes s'est déclaré incompétent à raison de la matière pour connaître de la demande formée par l'appelant.</w:t>
      </w:r>
    </w:p>
    <w:p>
      <w:r>
        <w:t>Le jugement attaqué sera dès lors confirmé.</w:t>
      </w:r>
    </w:p>
    <w:p>
      <w:r>
        <w:rPr>
          <w:b/>
        </w:rPr>
        <w:t>E. 4</w:t>
      </w:r>
    </w:p>
    <w:p>
      <w:r>
        <w:t>L'appelant, qui succombe, supportera les frais d'appel (art. 104 CPC), arrêtés à 10'000 fr. (art. 71 RTFMC), et couverts par l'avance déjà opérée.</w:t>
      </w:r>
    </w:p>
    <w:p>
      <w:r>
        <w:t>Il n'est pas alloué de dépens (art. 17 al. 2 LaCC).</w:t>
      </w:r>
    </w:p>
    <w:p>
      <w:r>
        <w:t>* * * * *</w:t>
      </w:r>
    </w:p>
    <w:p>
      <w:r>
        <w:t>- 7/7 -</w:t>
      </w:r>
    </w:p>
    <w:p>
      <w:r>
        <w:t>C/16771/2010-3 PAR CES MOTIFS, La Chambre des prud'hommes, groupe 3 : À la forme : Reçoit l'appel formé par A______ contre le jugement rendu le 18 juillet 2011 par le Tribunal des prud'hommes. Au fond : Confirme ce jugement.</w:t>
      </w:r>
    </w:p>
    <w:p>
      <w:r>
        <w:t>Sur les frais: Met à la charge de A______ l'émolument d'appel, arrêté à 10'000 fr., et couvert par l'avance de frais déjà effectuée.</w:t>
      </w:r>
    </w:p>
    <w:p>
      <w:r>
        <w:t>Déboute les parties de toute autre conclusion. Siégeant : Madame Sylvie DROIN, présidente. Monsieur Pierre-Jean BOSSON, juge employeur, Madame Monique LENOIR,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