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CAPH/29/2017 vom 28. Februar 2017</w:t>
      </w:r>
    </w:p>
    <w:p>
      <w:r>
        <w:t>GE Cour de justice, 2017-02-28, FR</w:t>
      </w:r>
    </w:p>
    <w:p>
      <w:r>
        <w:rPr>
          <w:b/>
        </w:rPr>
        <w:t xml:space="preserve">Quelle: </w:t>
      </w:r>
      <w:r>
        <w:t>https://mcp.opencaselaw.ch/entscheid/ge_gerichte_CAPH_29_2017</w:t>
      </w:r>
    </w:p>
    <w:p>
      <w:r>
        <w:t>FR: GE_GERICHTE CAPH/29/2017 du 28 février 2017</w:t>
      </w:r>
    </w:p>
    <w:p>
      <w:r>
        <w:t>IT: GE_GERICHTE CAPH/29/2017 del 28 febbraio 2017</w:t>
      </w:r>
    </w:p>
    <w:p>
      <w:pPr>
        <w:pStyle w:val="Heading2"/>
      </w:pPr>
      <w:r>
        <w:t>Erwägungen</w:t>
      </w:r>
    </w:p>
    <w:p>
      <w:r>
        <w:rPr>
          <w:b/>
        </w:rPr>
        <w:t>E. 1.1</w:t>
      </w:r>
    </w:p>
    <w:p>
      <w:r>
        <w:t>L'appel est recevable pour avoir été interjeté auprès de l'autorité compétente (art. 124 let. a LOJ), dans le délai utile de 30 jours (art. 311 al. 1 CPC) et selon la forme prescrite par la loi (art. 130, 131 et 311 CPC), à l'encontre d'une décision finale (art. 308 al. 1 let. a CPC) rendue dans une affaire patrimoniale dont la valeur litigieuse est, compte tenu de la quotité des prétentions contestées en première instance, supérieure à 10'000 fr. (art. 91 et 308 al. 2 CPC).</w:t>
      </w:r>
    </w:p>
    <w:p>
      <w:r>
        <w:rPr>
          <w:b/>
        </w:rPr>
        <w:t>E. 1.2</w:t>
      </w:r>
    </w:p>
    <w:p>
      <w:r>
        <w:t>La Chambre de céans revoit la cause en fait et en droit avec un plein pouvoir d'examen (art. 310 CPC). La valeur litigieuse étant supérieure à 30'000 fr., la</w:t>
      </w:r>
    </w:p>
    <w:p>
      <w:r>
        <w:t>- 8/12 -</w:t>
      </w:r>
    </w:p>
    <w:p>
      <w:r>
        <w:t>C/15319/2014-1 présente procédure est soumise aux maximes des débats et de disposition (art. 55 CPC cum art. 247 al. 2 let. b ch. 2 CPC et art. 58 CPC). La procédure ordinaire est applicable (art. 219 et 243 CPC).</w:t>
      </w:r>
    </w:p>
    <w:p>
      <w:r>
        <w:rPr>
          <w:b/>
        </w:rPr>
        <w:t>E. 2</w:t>
      </w:r>
    </w:p>
    <w:p>
      <w:r>
        <w:t>Les parties ont produit des pièces nouvelles à l'appui de leurs écritures de seconde instance.</w:t>
      </w:r>
    </w:p>
    <w:p>
      <w:r>
        <w:t>Dans la mesure où aucune des parties ne soutient que les faits attestés par ces pièces auraient pu être invoqués avant la procédure d'appel et que ces faits ne sont de surcroît pas contestés, la recevabilité desdites pièces sera admise, étant précisé qu'elles ne sont en tout état, au vu du sort réservé à l'appel, pas pertinentes pour l'issue du litige.</w:t>
      </w:r>
    </w:p>
    <w:p>
      <w:r>
        <w:rPr>
          <w:b/>
        </w:rPr>
        <w:t>E. 3.1</w:t>
      </w:r>
    </w:p>
    <w:p>
      <w:r>
        <w:t>L'appelant fait grief au premier juge d'avoir violé l'art. 328 CO en ne retenant pas une violation par l'intimé de son obligation de protection contre les accidents.</w:t>
      </w:r>
    </w:p>
    <w:p>
      <w:r>
        <w:t>S'il ne conteste pas que l'intimé lui a fourni des équipements de protection et donné, de manière générale, des consignes de sécurité, il soutient en revanche que celui-ci ne s'est pas conformé à l'art. 41 de l'ordonnance sur la prévention des accidents ainsi qu'à la directive de la CFST relative à la sécurité au travail et à la protection de la santé lors de la manutention de charges. La méthode employée pour descendre la chaudière n'était en effet et selon l'appelant pas adéquate pour prévenir tout incident susceptible de constituer un danger. Il n'était au demeurant pas étonnant que cette chaudière se soit renversée dès lors qu'un des employés chargé de la retenir à l'aide de cordes ou de sangles attachées à celle-ci était âgé d'environ 65 ans et avait perdu huit doigts. L'intimé avait d'ailleurs admis que l'accident devait être dû au fait que ses employés n'avaient pas maintenu une tension suffisante sur les cordes ou sangles ("laissé trop de mou"). L'intimé, qui savait que le transport de chaudières créait un état de fait dangereux, n'avait ainsi pas pris toutes les mesures propres à empêcher que l'accident se produise mais avait au contraire favorisé sa survenance en permettant qu'un ouvrier handicapé puisse contrôler les sangles qui retenaient la chaudière. Par ailleurs et selon les explications fournies par l'appelant devant la Cour, des palans auraient dû être utilisés le jour de l'accident, un tel système pouvant supporter un poids jusqu'à 3000 kilos. 3.2.1 Selon l'art. 328 al. 2 CO, l'employeur prend, pour protéger la vie, la santé et l'intégrité corporelle du travailleur, les mesures commandées par l'expérience, applicables en l'état de la technique, et adaptées aux conditions de l'exploitation ou du ménage, dans la mesure où les rapports de travail et la nature du travail permettent équitablement de l'exiger de lui. Si l'employeur crée un état de fait dangereux, il doit prendre toutes les mesures propres à empêcher le dommage de se produire. Il doit compter, dans la prévention des accidents, avec ceux que l'on peut prévoir selon le cours ordinaire</w:t>
      </w:r>
    </w:p>
    <w:p>
      <w:r>
        <w:t>- 9/12 -</w:t>
      </w:r>
    </w:p>
    <w:p>
      <w:r>
        <w:t>C/15319/2014-1 des choses, eu égard à l'inattention, voire à l'imprudence de l'employé. L'obligation de sécurité que la loi impose à l'employeur comprend ainsi la prévention de tout accident qui n'est pas dû à un comportement imprévisible et constitutif d'une faute grave de la victime (ATF 112 II 138 consid. 3; 95 II 140; WYLER, Droit du travail, 3ème éd., 2014, p. 322). Pour déterminer de manière concrète quelles mesures doit prendre l'employeur pour protéger la santé de ses salariés, il faut examiner non seulement les ordonnances du Conseil fédéral, mais aussi les différentes recommandations et normes techniques correspondant aux standards de protection à prendre en considération au moment déterminant (arrêt du Tribunal fédéral 2C_462/2011 du 9 mai 2012 consid. 4.2). L'employeur respectera ainsi scrupuleusement les dispositions spéciales se trouvant notamment dans l'ordonnance sur la prévention des accidents (OPA) et prendra en considération les directives de la CFST, ainsi que les différentes publications de la SUVA (DUNAND/MAHON, Commentaire du contrat de travail, 2013, n. 25 ad art. 328 CO, p. 279). 3.2.2 L'art. 41 OPA prévoit que les objets et matériaux doivent être transportés et entreposés de façon qu'ils ne puissent pas se renverser, tomber ou glisser et par là constituer un danger (al. 1) et que des équipements de travail appropriés doivent être mis à disposition et utilisés pour lever, porter et déplacer des charges lourdes ou encombrantes, de telle sorte que la manipulation ne porte pas atteinte à la sécurité ou à la santé (al. 2). 3.2.3 Selon l'art. 25 al. 1 de l'ordonnance 3 relative à la loi sur le travail (OLT 3), l'employeur prend les mesures d'organisation appropriées et met à disposition les équipements adéquats, notamment les dispositifs mécaniques, pour éviter que les travailleurs ne doivent déplacer des charges manuellement (al. 1). L'alinéa 2 de cette disposition précise que lorsque le déplacement de charges ne peut être effectué que manuellement, des moyens appropriés doivent être mis à disposition et utilisés pour le levage, le port et le déplacement des charges lourdes ou encombrantes en vue de permettre une manipulation qui soit sûre et qui préserve la santé.</w:t>
      </w:r>
    </w:p>
    <w:p>
      <w:r>
        <w:t>3.2.4 Enfin, à teneur de la brochure d'information de la CFST relative à la sécurité au travail et à la protection de la santé lors de la manutention de charges, les règles fondamentales, en cas de transport de charges, sont notamment d'utiliser autant que possible des moyens mécaniques (chariots élévateurs, grues, monte-charges, etc.) ou à défaut des moyens auxiliaires manuels (diables, brouettes, transpalettes, etc.), voire en dernier recours, des aides au transport (sangles de transport, structures dorsales, poignées de transport, etc.) et de procéder à une préparation par des mesures appropriées au niveau de l'organisation du travail. Il est également conseillé d'éviter les escaliers et de confier le travail à des personnes adéquates (constitution, qualification).</w:t>
      </w:r>
    </w:p>
    <w:p>
      <w:r>
        <w:t>- 10/12 -</w:t>
      </w:r>
    </w:p>
    <w:p>
      <w:r>
        <w:t>C/15319/2014-1 3.2.5 En vertu de l'art. 8 CC, il appartient à l'employé de prouver que l'employeur a objectivement omis de prendre une mesure de sécurité qui lui incombait (ATF 95 II 132 consid. 1). Il lui incombe en particulier d'énumérer et de décrire les divers manquements reprochés à l'employeur dans son devoir de protection (ATF 95 II 132 consid. 1; STREIFF/VON KAENEL, Arbeitsvertrag, 6ème éd, n. 16 ad art. 328 CO; REHBINDER, Commentaire bernois, n. 25 ad art. 328 CO).</w:t>
      </w:r>
    </w:p>
    <w:p>
      <w:r>
        <w:rPr>
          <w:b/>
        </w:rPr>
        <w:t>E. 3.3</w:t>
      </w:r>
    </w:p>
    <w:p>
      <w:r>
        <w:t>En l'espèce, il est constant que l'accident s'est produit alors que l'appelant et trois autres employés transportaient manuellement et à l'aide de sangles une chaudière dans des escaliers. Il ressort des règles de prévention des accidents exposées ci-dessus que le transport avec des moyens mécaniques doit, dans le cadre de la manutention de charges, être privilégié par rapport au transport avec des moyens auxiliaires manuels ou des aides, tels que des cordes ou des sangles. Encore faut-il toutefois que le transport des charges à l'aide de moyens mécaniques soit possible. Dans le cas d'espèce, l'appelant a soutenu que la technique de transport utilisée le jour de l'accident n'était pas adéquate et qu'un transporteur électrique aurait dû être utilisé, ou que des palans auraient dû être installés. Il lui appartenait de prouver ses allégations, ce qu'il n'a pas été en mesure de faire. Il est d'une part ressorti du transport sur place que le seul accès permettant d'atteindre la chaufferie est l'escalier emprunté le 20 septembre 2010. Celui-ci est étroit et non rectiligne, ce qui rendait impossible l'utilisation d'un transporteur électrique. Quant aux palans, en admettant que la hauteur sous plafond, modeste, ait permis leur utilisation, ils auraient dû être accrochés à la "paillasse" de la rampe d'escalier surplombant les marches empruntées par la chaudière. Or, l'escalier date manifestement de la construction de l'immeuble, soit du début du vingtième siècle et la "paillasse" présente une épaisseur irrégulière, variant entre 7 et 15 cm. Il n'est par conséquent pas certain qu'elle aurait pu supporter le poids de la chaudière, ce d'autant plus que celle-ci ne devait pas être transportée sur un axe vertical, mais le long de l'escalier et qu'elle allait se trouver, au fur et à mesure de son déplacement, dans un axe oblique par rapport aux palans. Cette situation aurait créé un risque important d'effondrement de l'escalier, de sorte qu'il ne saurait être reproché à l'employeur d'avoir renoncé à l'utilisation de palans. La technique de "la luge", que tous les ouvriers, y compris l'appelant, connaissaient déjà, apparaissait donc adéquate compte tenu de la configuration des lieux. L'appelant a également reproché à l'intimé d'avoir employé, pour le transport en cause, un ouvrier proche de l'âge de la retraite, auquel il manquait huit doigts. La procédure n'a toutefois pas permis d'établir que l'accident aurait pu être évité si l'ouvrier en question avait été plus jeune et muni de ses dix doigts. Aucun des témoins entendus n'a en effet allégué que C______ n'était plus en état d'effectuer ce type de travaux, auxquels il était par ailleurs habitué, ni que l'absence de doigts l'aurait empêché de retenir la chaudière, alors même que les sangles étaient</w:t>
      </w:r>
    </w:p>
    <w:p>
      <w:r>
        <w:t>- 11/12 -</w:t>
      </w:r>
    </w:p>
    <w:p>
      <w:r>
        <w:t>C/15319/2014-1 passées autour de son corps. Au demeurant, dans la mesure où il est constant que l'accident s'est produit au moment où l'appelant a voulu dégager la chaudière qui s'était coincée contre une marche ou le mur, il n'est pas démontré que la présence d'un autre ouvrier que C______ aurait modifié le déroulement des événements. L'appelant a enfin reproché à l'intimé l'absence d'organisation du processus de transport et un manque de formation des employés. Il n'a toutefois fourni aucune indication utile et concrète sur les manquements qu'il impute à l'intimé sur ces deux points, étant relevé que tous les ouvriers présents avaient déjà effectué de tels transports. L'appelant a enfin admis, lors de son audition devant le Tribunal des prud'hommes, que l'intimé faisait toujours des remarques sur la sécurité, par exemple lorsqu'il n’utilisait pas les gants ou les protections pour les oreilles, ce qui atteste du fait que l'intimé était concerné par la santé de ses salariés. Compte tenu de ce qui précède, c'est à bon droit que le premier juge a retenu qu'il ne pouvait être reproché à l'intimé d'avoir violé son devoir de protection à l'égard de son employé. Partant, l'appel sera rejeté et le jugement entrepris confirmé.</w:t>
      </w:r>
    </w:p>
    <w:p>
      <w:r>
        <w:rPr>
          <w:b/>
        </w:rPr>
        <w:t>E. 4</w:t>
      </w:r>
    </w:p>
    <w:p>
      <w:r>
        <w:t>Les frais judiciaires de l'appel seront arrêtés à 400 fr. (art. 71 du Règlement fixant le tarif des frais judiciaires en matière civile (RTFMC), 19 al. 3 let. c LaCC, 104 al. 1 et 105 al. 1 CPC) et mis à la charge de l'appelant qui succombe dans ses conclusions (art. 106 al. 1 CPC). Ils seront entièrement compensés avec l'avance de frais, d'un montant correspondant, fournie par ce dernier, laquelle reste acquise à l'Etat de Genève (art. 111 al. 1 CPC).</w:t>
      </w:r>
    </w:p>
    <w:p>
      <w:r>
        <w:t>S'agissant d'un litige de droit du travail, il n'est pas alloué de dépens (art. 22 al. 2 LaCC).</w:t>
      </w:r>
    </w:p>
    <w:p>
      <w:r>
        <w:t>* * * * *</w:t>
      </w:r>
    </w:p>
    <w:p>
      <w:r>
        <w:t>- 12/12 -</w:t>
      </w:r>
    </w:p>
    <w:p>
      <w:r>
        <w:t>C/15319/2014-1 PAR CES MOTIFS, La Chambre des prud'hommes, groupe 1 : A la forme : Déclare recevable l'appel interjeté par A_____ contre le jugement JTPH/218/2016 rendu le 3 juin 2016 par le Tribunal des prud'hommes dans la cause C/15319/2014-1. Au fond : Confirme ce jugement. Sur les frais : Arrête les frais judiciaires de l'appel à 400 fr. et dit qu'ils sont entièrement compensés avec l'avance de frais, d'un montant correspondant, fournie par A_____, laquelle reste acquise à l'Etat de Genève. Les met à la charge de A_____. Dit qu'il n'est pas alloué de dépens. Siégeant : Madame Paola CAMPOMAGNANI, présidente; Monsieur Roberto SPINELLI, juge employeur; Monsieur Ivo VAN DOORNIK,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