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CAPH/27/2020 vom 5. Februar 2020</w:t>
      </w:r>
    </w:p>
    <w:p>
      <w:r>
        <w:t>GE Cour de justice, 2020-02-05, FR</w:t>
      </w:r>
    </w:p>
    <w:p>
      <w:r>
        <w:rPr>
          <w:b/>
        </w:rPr>
        <w:t xml:space="preserve">Quelle: </w:t>
      </w:r>
      <w:r>
        <w:t>https://mcp.opencaselaw.ch/entscheid/ge_gerichte_CAPH_27_2020</w:t>
      </w:r>
    </w:p>
    <w:p>
      <w:r>
        <w:t>FR: GE_GERICHTE CAPH/27/2020 du 5 février 2020</w:t>
      </w:r>
    </w:p>
    <w:p>
      <w:r>
        <w:t>IT: GE_GERICHTE CAPH/27/2020 del 5 febbraio 2020</w:t>
      </w:r>
    </w:p>
    <w:p>
      <w:pPr>
        <w:pStyle w:val="Heading2"/>
      </w:pPr>
      <w:r>
        <w:t>Erwägungen</w:t>
      </w:r>
    </w:p>
    <w:p>
      <w:r>
        <w:rPr>
          <w:b/>
        </w:rPr>
        <w:t>E. 1.1</w:t>
      </w:r>
    </w:p>
    <w:p>
      <w:r>
        <w:t>Une décision sur récusation peut faire l'objet d'un recours (art. 50 CPC). Il s'agit du recours stricto sensu des art. 319ss CPC, le cas étant prévu par la loi au sens de l'art. 319 let. b ch. 1 CPC (JEANDIN, Commentaire romand, 2019 ad art. 319 n. 18). Le délai est de 10 jours à compter de la notification, la procédure sommaire étant applicable (art. 49, 321 al. 1 et 2 CPC) Selon l'art. 14 al. 3 LTPH, les demandes de récusation visant un juge prud’homme ou un greffier sont tranchées par le président d’un autre groupe. La Chambre des prud’hommes de la Cour de justice est compétente pour connaître des recours. Le présent recours, qui respecte les dispositions légales précitées, est recevable.</w:t>
      </w:r>
    </w:p>
    <w:p>
      <w:r>
        <w:rPr>
          <w:b/>
        </w:rPr>
        <w:t>E. 1.2</w:t>
      </w:r>
    </w:p>
    <w:p>
      <w:r>
        <w:t>Dans le cadre d'un recours, le pouvoir d'examen de la Cour est limité à la violation du droit et à la constatation manifestement inexacte des faits (art. 320 CPC).</w:t>
      </w:r>
    </w:p>
    <w:p>
      <w:r>
        <w:rPr>
          <w:b/>
        </w:rPr>
        <w:t>E. 2</w:t>
      </w:r>
    </w:p>
    <w:p>
      <w:r>
        <w:t>Le Tribunal a considéré que l'avocat du recourant n'avait pas respecté les règles de procédure, notamment en procédant à la lecture d'une pièce nouvelle pendant l'audition d'un témoin. La présidente C______ l'avait rappelé à l'ordre, ce qui était conforme à la loi. Aucune prévention de partialité ne pouvait être déduite du fait que la présidente avait ait demandé au témoin E______ s'il avait préparé l'audience avec A______, son conseil ou un tiers. La présidente était par ailleurs légitimée à rappeler à l'avocat du recourant la teneur des articles 172 et 173 CPC. Le fait qu'elle l'ait fait de manière autoritaire n'était pas un signe de partialité à l'encontre de A______, dans la mesure où l'avocat de ce dernier avait lui-même fortement exprimé ses émotions et n'était pas parvenu à garder la maîtrise de lui- même. Aucun motif de récusation ne résultait par ailleurs des déterminations déposées par la présidente au sujet de la demande de récusation. Le recourant soutient que le fait que la présidente ait demandé à un témoin s'il avait préparé son audition avec son avocat était révélatrice de sa partialité en sa défaveur. Cet indice de partialité était corroboré par le fait que, dans ses déterminations sur la demande de récusation, la présidente avait faussement accusé son avocat de s'être levé en audience et de l'avoir menacée. Elle avait en outre faussement indiqué dans les déterminations précitées que son avocat avait profité de son absence lors des débats d'instructions pour révéler qu'il se</w:t>
      </w:r>
    </w:p>
    <w:p>
      <w:r>
        <w:t>- 5/8 -</w:t>
      </w:r>
    </w:p>
    <w:p>
      <w:r>
        <w:t>C/22347/2018-4 désintéressait du dossier. La virulence des déterminations de la présidente sur la demande de récusation était de nature à faire douter de son impartialité.</w:t>
      </w:r>
    </w:p>
    <w:p>
      <w:r>
        <w:rPr>
          <w:b/>
        </w:rPr>
        <w:t>E. 2.1</w:t>
      </w:r>
    </w:p>
    <w:p>
      <w:r>
        <w:t>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Le risque de prévention ne saurait être admis trop facilement, sous peine de compromettre le fonctionnement normal des tribunaux (ATF 105 Ia 157 consid. 6a; 122 II 471 consid. 3b; parmi les arrêts récents: arrêt du Tribunal fédéral 1F_4/2015 du 23 février 2015 consid. 2.1).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arrêts du Tribunal fédéral 5A_749/2015 du 27 novembre 2015 consid. 4.1; 5A_286/2013 du 12 juin 2013 consid. 2.1).</w:t>
      </w:r>
    </w:p>
    <w:p>
      <w:r>
        <w:t>- 6/8 -</w:t>
      </w:r>
    </w:p>
    <w:p>
      <w:r>
        <w:t>C/22347/2018-4 On ne saurait en particulier soupçonner un magistrat de partialité pour avoir écarté, lors de l'interrogatoire d'un témoin, une question qu'il estimait sans pertinence (arrêt du Tribunal fédéral 5A_133/2007 du 15 juin 2007 consid. 2.3).</w:t>
      </w:r>
    </w:p>
    <w:p>
      <w:r>
        <w:rPr>
          <w:b/>
        </w:rPr>
        <w:t>E. 2.2</w:t>
      </w:r>
    </w:p>
    <w:p>
      <w:r>
        <w:t>En l'espèce, c'est à juste titre que président du groupe 5 de la juridiction des prud'hommes a considéré qu'il n'y avait pas lieu de considérer que la présidente du groupe 4, en charge de la procédure initiée par le recourant, pouvait être prévenue contre celui-ci en raison d'un rapport d'inimitié avec son avocat. Il ressort du dossier que le recourant a rencontré le témoin E______, avec qui il a des liens d'amitié, avant l'audience et qu'il lui a parlé du litige en cours. Dans la mesure où l'art. 172 let. b CPC prévoit qu'il incombe au Tribunal de demander au témoin de décrire ses relations personnelles avec les parties et toute autre circonstance de nature à influer sur la crédibilité de sa déposition, la question de la présidente visant à savoir si l'avocat du recourant avait participé à cette entrevue pouvait se justifier par le souci d'éclaircir toutes les circonstances de cette rencontre. Ces éléments pouvaient en effet avoir leur importance pour apprécier la crédibilité des déclarations du témoin. L'on ne saurait en conclure que, ce faisant, la présidente a manifesté une inimitié particulière à l'égard de l'avocat du recourant, qui justifierait sa récusation. Contrairement à ce que fait valoir le recourant, le simple fait de poser la question n'impliquait pas que la présidente pensait d'avance que la réponse à celle-ci serait positive. Il résulte d'ailleurs clairement du procès-verbal que le témoin a affirmé n'avoir jamais parlé à l'avocat du recourant. La détermination de la présidente sur la demande de récusation ne révèle pas non plus de partialité à l'encontre du recourant. Aucun élément du dossier ne permet de retenir que les indications de la présidente, selon lesquelles l'avocat du recourant se serait levé au cours de l'audience, sont fausses, ce d'autant plus qu'il n'est pas contesté que le recourant et son avocat ont quitté l'audience prématurément. La question de savoir si c'est à juste titre ou non que la présidente a interprété le comportement de l'avocat comme étant "menaçant", comme elle l'a relevé dans ses observations, n'est quant à elle pas décisive. Il s'agit en effet de déterminer, dans le cadre du présent arrêt, si le comportement de la présidente peut faire penser qu'elle est prévenue contre le recourant et non de disserter sur l'attitude de l'avocat de ce dernier. En tout état de cause, celui-ci ne conteste pas qu'il s'est mis en colère au cours de l'audience en question, de sorte qu'il est tout à fait possible que son comportement ait pu paraître menaçant.</w:t>
      </w:r>
    </w:p>
    <w:p>
      <w:r>
        <w:t>- 7/8 -</w:t>
      </w:r>
    </w:p>
    <w:p>
      <w:r>
        <w:t>C/22347/2018-4 Pour les mêmes raisons, il n'est pas nécessaire de déterminer si l'avocat du recourant a effectivement émis, hors procès-verbal, lors d'une audience précédente, une remarque sur l'intérêt qu'il portait au dossier de son client. Cet élément n'est en effet pas pertinent pour l'issue de la demande de récusation faisant l'objet de la présente procédure. Le ton des déterminations de la présidente sur la demande de récusation n'est par ailleurs pas "virulent", contrairement à ce que fait valoir le recourant. Il ressort de ce qui précède qu'aucun élément du dossier ne permet de retenir que la présidente C______ aurait, que ce soit dans le cadre de la conduite de la procédure ou dans ses déterminations sur la requête de récusation, donné l'apparence d'être prévenue contre le recourant dans ce dossier en raison d'un rapport d'inimitié avec son avocat. Le jugement querellé sera par conséquent confirmé.</w:t>
      </w:r>
    </w:p>
    <w:p>
      <w:r>
        <w:rPr>
          <w:b/>
        </w:rPr>
        <w:t>E. 3</w:t>
      </w:r>
    </w:p>
    <w:p>
      <w:r>
        <w:t>Les frais de la procédure de recours, arrêtés à 300 fr., et compensés avec l'avance versée, acquise à l'Etat de Genève, seront laissé à la charge du recourant qui succombe (art. 106 al. 1 et 111 CPC; 71 RTFMC).</w:t>
      </w:r>
    </w:p>
    <w:p>
      <w:r>
        <w:t>Il ne sera pas alloué de dépens (art. 22 al. 2 LaCC). * * * * *</w:t>
      </w:r>
    </w:p>
    <w:p>
      <w:r>
        <w:t>- 8/8 -</w:t>
      </w:r>
    </w:p>
    <w:p>
      <w:r>
        <w:t>C/22347/2018-4 PAR CES MOTIFS, La Chambre des prud'hommes, groupe 4 : A la forme : Déclare recevable le recours interjeté par A______ contre le jugement du Tribunal des prud'hommes rendu le 13 novembre 2019 dans la cause C/22347/2018-4. Au fond : Rejette ce recours. Déboute les parties de toutes autres conclusions. Siégeant : Madame Fabienne GEISINGER-MARIETHOZ, présidente; Monsieur Olivier GROMETTO,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