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CAPH/25/2007 vom 9. Februar 2007</w:t>
      </w:r>
    </w:p>
    <w:p>
      <w:r>
        <w:t>GE Cour de justice, 2007-02-09, FR</w:t>
      </w:r>
    </w:p>
    <w:p>
      <w:r>
        <w:rPr>
          <w:b/>
        </w:rPr>
        <w:t xml:space="preserve">Quelle: </w:t>
      </w:r>
      <w:r>
        <w:t>https://mcp.opencaselaw.ch/entscheid/ge_gerichte_CAPH_25_2007</w:t>
      </w:r>
    </w:p>
    <w:p>
      <w:r>
        <w:t>FR: GE_GERICHTE CAPH/25/2007 du 9 février 2007</w:t>
      </w:r>
    </w:p>
    <w:p>
      <w:r>
        <w:t>IT: GE_GERICHTE CAPH/25/2007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A_________SA et en juin 2003 pour B_________.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A_________SA et B_________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Juridiction des prud’hommes</w:t>
      </w:r>
    </w:p>
    <w:p>
      <w:r>
        <w:t>Cause n° C/25948/2001-3 - 12 -</w:t>
      </w:r>
    </w:p>
    <w:p>
      <w:r>
        <w:t>* COUR D’APPEL *</w:t>
      </w:r>
    </w:p>
    <w:p>
      <w:r>
        <w:t>5) Il résulte des considérants ci-avant qu’on ne saurait, dans le cas d’espèce, appliquer l’article 333 al.1 CO, de telle sorte que E_____________ ne possède pas la légitimation passive, et l’appel sera rejeté.</w:t>
      </w:r>
    </w:p>
    <w:p>
      <w:r>
        <w:t>6) L’appelante, qui succombe, sera condamnée aux frais de justice, arrêtés à fr. 500.-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