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CAPH/24/2018 vom 27. Februar 2018</w:t>
      </w:r>
    </w:p>
    <w:p>
      <w:r>
        <w:t>GE Cour de justice, 2018-02-27, FR</w:t>
      </w:r>
    </w:p>
    <w:p>
      <w:r>
        <w:rPr>
          <w:b/>
        </w:rPr>
        <w:t xml:space="preserve">Quelle: </w:t>
      </w:r>
      <w:r>
        <w:t>https://mcp.opencaselaw.ch/entscheid/ge_gerichte_CAPH_24_2018</w:t>
      </w:r>
    </w:p>
    <w:p>
      <w:r>
        <w:t>FR: GE_GERICHTE CAPH/24/2018 du 27 février 2018</w:t>
      </w:r>
    </w:p>
    <w:p>
      <w:r>
        <w:t>IT: GE_GERICHTE CAPH/24/2018 del 27 febbraio 2018</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patrimoniale, sauf si la demande porte exclusivement sur des dommages-intérêts (ATF 142 III 145 consid. 6; ATF 127 III 481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w:t>
      </w:r>
    </w:p>
    <w:p>
      <w:r>
        <w:rPr>
          <w:b/>
        </w:rPr>
        <w:t>E. 1.2</w:t>
      </w:r>
    </w:p>
    <w:p>
      <w:r>
        <w:t>Interjeté dans le délai utile et suivant la forme prescrite par la loi (art. 130, 131, 145 al. 1 let. b et 311 al. 1 CPC) par une partie qui y a intérêt (cf. art. 59 al. 2 let. a CPC), l'appel est recevable.</w:t>
      </w:r>
    </w:p>
    <w:p>
      <w:r>
        <w:rPr>
          <w:b/>
        </w:rPr>
        <w:t>E. 1.3</w:t>
      </w:r>
    </w:p>
    <w:p>
      <w:r>
        <w:t>La compétence ratione materiae des juridictions prud'homales pour statuer sur la présente action n'est à juste titre pas remise en cause par les parties, dès lors que l'employé demandeur en protection de sa personnalité peut saisir soit la juridiction ordinaire, soit la juridiction prud'homale (ACJC/855/2016 du 24 juin 2016 consid. 2.1.6) et qu'en l'espèce, l'intimé s'oppose à la transmission de données le concernant aux autorités américaines, en invoquant notamment la LPD et l'art. 328b CO.</w:t>
      </w:r>
    </w:p>
    <w:p>
      <w:r>
        <w:rPr>
          <w:b/>
        </w:rPr>
        <w:t>E. 2</w:t>
      </w:r>
    </w:p>
    <w:p>
      <w:r>
        <w:t>L'appelante a produit trois pièces nouvelles avec l'appel et une pièce nouvelle avec sa réplique.</w:t>
      </w:r>
    </w:p>
    <w:p>
      <w:r>
        <w:rPr>
          <w:b/>
        </w:rPr>
        <w:t>E. 2.1</w:t>
      </w:r>
    </w:p>
    <w:p>
      <w:r>
        <w:t>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w:t>
      </w:r>
    </w:p>
    <w:p>
      <w:r>
        <w:t>Il faut distinguer les "vrais nova" des "pseudo nova". Les "vrais nova" sont des faits et moyens de preuve qui ne sont survenus qu'après la fin des débats principaux, soit après la clôture des plaidoiries finales (cf. ATF 138 III 788</w:t>
      </w:r>
    </w:p>
    <w:p>
      <w:r>
        <w:t>- 10/18 -</w:t>
      </w:r>
    </w:p>
    <w:p>
      <w:r>
        <w:t>C/11739/2016-4 consid. 4.2; TAPPY, Code de procédure civile commenté, BOHNET/HALDY/ JEANDIN/SCHWEIZER/TAPPY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t>Les faits notoires sont ceux qui sont connus de chacun parce qu'ils résultent de l'expérience commune ou sont de notoriété générale et manifeste ou dont l'existence est certaine au point d'emporter la conviction du juge (ATF 135 III 88 consid. 4.1; 134 III 224 consid. 5.2). La Cour a déjà eu l'occasion de préciser (ACJC/699/2014 du 20 mai 2014 consid. 3.1 et ACJC/444/2015 du 24 avril 2015 consid. 2.1) que sont toutefois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cf. déjà, sous l'ancienne OJ, ATF 126 I 95 consid. 4b; 108 II 69 consid. 1).</w:t>
      </w:r>
    </w:p>
    <w:p>
      <w:r>
        <w:rPr>
          <w:b/>
        </w:rPr>
        <w:t>E. 2.2</w:t>
      </w:r>
    </w:p>
    <w:p>
      <w:r>
        <w:t>En l'espèce, les courriers des 19, 22 février et 21 juin 2016 produits avec l'appel (pièces 1 à 3), censés démontrer que les autorités américaines devraient être considérées comme offrant une protection adéquate des données et que dès lors, l'art. 6 LPD serait inapplicable, sont tous antérieurs à la date à laquelle le Tribunal a gardé la cause à juger. L'appelante n'expose pas à quelle date elle a eu connaissance de ces courriers, ni les motifs pour lesquels elle n'aurait pas été en mesure de les produire en première instance, alors que la question de l'existence d'une législation assurant un niveau de protection adéquat avait été soulevée dans la demande. Ainsi, lesdites pièces sont irrecevables, comme les faits qu'elles visent. Par ailleurs, en conformité des principes rappelés ci-dessus, l'arrêt de la Cour d'appel civile du Tribunal cantonal vaudois du 30 juin 2017 (pièce nouvelle 4 de l'appelante) est irrecevable, dans la mesure où il n'a pas été produit dans le délai d'appel.</w:t>
      </w:r>
    </w:p>
    <w:p>
      <w:r>
        <w:rPr>
          <w:b/>
        </w:rPr>
        <w:t>E. 3</w:t>
      </w:r>
    </w:p>
    <w:p>
      <w:r>
        <w:t>Les conclusions de l'intimé qui vont au-delà de la simple confirmation du jugement attaqué sont irrecevables, dans la mesure où celui-ci n'a pas formé un appel joint. Il en va ainsi du chef des conclusions préalables figurant dans la réponse, par laquelle l'intimé sollicite la production de pièces.</w:t>
      </w:r>
    </w:p>
    <w:p>
      <w:r>
        <w:t>- 11/18 -</w:t>
      </w:r>
    </w:p>
    <w:p>
      <w:r>
        <w:t>C/11739/2016-4</w:t>
      </w:r>
    </w:p>
    <w:p>
      <w:r>
        <w:rPr>
          <w:b/>
        </w:rPr>
        <w:t>E. 4</w:t>
      </w:r>
    </w:p>
    <w:p>
      <w:r>
        <w:t>L'appelante fait grief au Tribunal d'avoir considéré que la transmission de données relatives à l'intimé dans le cadre du US Program était illicite au regard de la LPD, en partant de la prémisse que les Etats-Unis ne disposaient pas d'une législation assurant un niveau de protection adéquat. Le Tribunal aurait ainsi appliqué à tort l'art. 6 LPD, en lieu et place de l'art. 13 LPD.</w:t>
      </w:r>
    </w:p>
    <w:p>
      <w:r>
        <w:t>4.1.1 L'employeur protège et respecte, dans les rapports de travail, la personnalité du travailleur (art. 328 al. 1 CO). Cette disposition instaure une protection plus étendue que celle qu'assurent les art. 27 et 28 CC. D'une part, cette disposition interdit à l'employeur de porter atteinte, par ses directives, aux droits de la personnalité du travailleur. D'autre part, elle impose à l'employeur la prise de mesures concrètes en vue de garantir la protection de la personnalité du travailleur, laquelle englobe notamment sa vie et sa santé, son intégrité corporelle et intellectuelle, sa dignité, son honneur personnel et professionnel, sa position et la considération dont il jouit dans l'entreprise (CAPH/204/2015 du 11 décembre 2015 consid. 2.1 et les réf. citées). L'employeur ne peut traiter des données concernant le travailleur que dans la mesure où celles-ci portent sur les aptitudes du travailleur à remplir son emploi ou sont nécessaires à l'exécution du contrat de travail. Sur ce point, les dispositions de la loi fédérale du 19 juin 1992 sur la protection des données (LPD, RS 235.1) sont en outre applicables (art. 328b CO). La communication des données dans le cadre de la relation de travail doit s'apprécier à la lumière de l'art. 328b CO et des dispositions de la LPD (CAPH/204/2015 susmentionné consid. 2.3 et les réf. citées; ACJC/1529/2015 du 11 décembre 2015 consid. 5.1.2 et les réf. citées). La portée de l'art. 328b CO est controversée en doctrine, certains auteurs étant d'avis que cette disposition ne fait que répéter des principes déjà prévus par la LPD, laquelle s'applique à l'employeur en sa qualité de personne privée (ACJC/1529/2015 consid. 5.1.2 précité et les réf. citées; AUBERT, La communication aux autorités américaines, par les banques, de données personnelles sur leurs employés : aspects de droit du travail, in Revue suisse de droit des affaires et du marché financier, 2013, p. 40 ss, 46). Il est en tous les cas admis que le renvoi à la LPD prévu à l'art. 328b CO s'étend à l'ensemble des principes généraux de la LPD, y compris aux moyens de droit prévus à l'art. 15 LPD (CAPH/140/2016 du 9 août 2016 consid. 3.1.1; ACJC/1529/2015 consid. 5.1.2 précité et les réf. citées). La protection conférée par l'art. 328b CO perdure au-delà de la fin des rapports de travail (ATF 131 V 298 consid. 6.1).</w:t>
      </w:r>
    </w:p>
    <w:p>
      <w:r>
        <w:t>- 12/18 -</w:t>
      </w:r>
    </w:p>
    <w:p>
      <w:r>
        <w:t>C/11739/2016-4 4.1.2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(MAURER-LAMBROU/STEINER, in Basler Kommentar, Datenschutzgesetz Öffentlichkeitsgesetz, 3e éd, Bâle 2014, ad art. 6 LPD n. 11; STEINAUER/FOUNTOULAKIS, Droit des personnes physiques et de la protection de l'adulte, Berne 2014, n. 706b).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Préposé fédéral à la protection des données et à la transparence mise à jour au 12 janvier 2017, seuls les organismes qui adhèrent au Privacy Shield pour les données provenant de Suisse et qui figurent sur la liste du Département américain du commerce garantissent un niveau de protection adéquat au sens de l'art. 6 al. 1 LPD (art. 7 OLPD).</w:t>
      </w:r>
    </w:p>
    <w:p>
      <w:r>
        <w:rPr>
          <w:b/>
        </w:rPr>
        <w:t>E. 4.2</w:t>
      </w:r>
    </w:p>
    <w:p>
      <w:r>
        <w:t>En l'espèce, la transmission de données personnelles de la Suisse vers les Etats-Unis peut désormais s'inscrire dans le cadre d'un nouvel accord dénommé Privacy Shield, en lieu et place d'un précédent accord jugé insuffisant. Contrairement à ce que soutient l'appelante, la mise en place de ce nouveau cadre n'a cependant pas pour effet de conférer un niveau de protection suffisant, au sens de l'art. 6 al. 1 LPD, à toute communication de données vers les Etats-Unis. Comme l'accord qui l'a précédé, le Privacy Shield ne vise que les données échangées entre des sujets suisses et certaines entreprises américaines, dont la liste est tenue par le Département américain du commerce. Les autorités et administrations publiques américaines (en particulier le DoJ, qui n'est d'ailleurs pas une entreprise privée; cf. arrêt du Tribunal fédéral 4A_355/2017 du 29 novembre 2017 consid. 4.3) ne font pas partie des entreprises concernées et rien n'indique qu'elles pourraient figurer sur la liste en question. S'il est exact que le PFPDT considère que les données échangées avec les entreprises américaines</w:t>
      </w:r>
    </w:p>
    <w:p>
      <w:r>
        <w:t>- 13/18 -</w:t>
      </w:r>
    </w:p>
    <w:p>
      <w:r>
        <w:t>C/11739/2016-4 participant au Privacy Shield bénéficient d'un niveau de protection adéquat, équivalent à celui appliqué aux données provenant de l'Union européenne, tel n'est pas le cas des données transmises à des autorités américaines, notamment dans le cadre du US Program. Il découle des principes rappelés ci-dessus que la législation américaine permet aux autorités en question d'écarter toute protection des données privées lorsqu'elles estiment que l'intérêt public des Etats-Unis est en jeu, comme c'est le cas en l'espèce. Le Tribunal a dès lors correctement retenu que les Etats-Unis n'offraient pas un niveau de protection suffisant à la transmission des données litigieuses aux autorités américaines et la mise en place du Privacy Shield ne change rien à ce qui précède. Le grief sera en conséquence écarté. Il n'y a ainsi pas lieu d'examiner le litige sous l'angle de l'art. 13 LPD.</w:t>
      </w:r>
    </w:p>
    <w:p>
      <w:r>
        <w:rPr>
          <w:b/>
        </w:rPr>
        <w:t>E. 5</w:t>
      </w:r>
    </w:p>
    <w:p>
      <w:r>
        <w:t>A titre subsidiaire, l'appelante reproche au Tribunal de ne pas avoir retenu que la communication des données litigieuses était néanmoins licite, dans la mesure où elle reposait sur l'un des motifs justificatifs prévus par la loi, à savoir l'existence de l'intérêt public prépondérant. Les griefs de l'appelante visant les risques que la non-transmission des données litigieuses pourraient faire peser sur elle, respectivement sur l'intimé, concernent non pas la constatation inexacte des faits, mais leur appréciation, qui relève du droit. Il n'y a donc pas lieu d'examiner séparément lesdits griefs.</w:t>
      </w:r>
    </w:p>
    <w:p>
      <w:r>
        <w:rPr>
          <w:b/>
        </w:rPr>
        <w:t>E. 5.1</w:t>
      </w:r>
    </w:p>
    <w:p>
      <w:r>
        <w:t>L'art. 6 al. 2 LPD contient une liste exhaustive de motifs (alternatifs) permettant la communication à l'étranger des données, en dépit de l'absence de législation assurant un niveau de protection adéquat (arrêt du Tribunal fédéral 4A_83/2016 du 22 septembre 2016 consid. 3.4.3 et les références). Selon l'art. 6 al. 2 let. d première partie LPD (seul motif entrant en l'occurrence en ligne de compte), des données personnelles peuvent être communiquées à l'étranger uniquement si la communication est, en l'espèce, indispensable notamment à la sauvegarde d'un intérêt public prépondérant. Cette disposition pose trois conditions: (1) un intérêt public, (2) un intérêt public qui soit prépondérant et (3) une communication qui soit indispensable à la sauvegarde de celui-ci. Il existe un intérêt public si la préservation de la stabilité juridique et économique de la place financière suisse est en jeu. L'intérêt de la banque à sa survie ne suffit en soi pas, dès lors qu'il s'agit d'un intérêt privé, et non d'un intérêt public (arrêt du Tribunal fédéral 4A_83/2016 déjà cité consid. 3.4.3). 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(cf.</w:t>
      </w:r>
    </w:p>
    <w:p>
      <w:r>
        <w:t>- 14/18 -</w:t>
      </w:r>
    </w:p>
    <w:p>
      <w:r>
        <w:t>C/11739/2016-4 arrêt du Tribunal fédéral 4A_83/2016 précité consid. 3.5.1; HRUBESCH- MILLAUER/BÜRKI, Rechtsprechungs-panorama Personenrecht und Einleitungsartikel, PJA 2017 p. 392).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(arrêts du Tribunal fédéral 4A_83/2016 consid. 3.3; 4A_73/2017 du 26 juillet 2017 consid. 3.1). En signant le Joint Statement,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Il appartient à la banque de démontrer que, à la date du jugement, la non- 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du Tribunal fédéral 4A_355/2017 du 29 novembre 2017, consid. 4.2 et les réf. citées)</w:t>
      </w:r>
    </w:p>
    <w:p>
      <w:r>
        <w:rPr>
          <w:b/>
        </w:rPr>
        <w:t>E. 5.2</w:t>
      </w:r>
    </w:p>
    <w:p>
      <w:r>
        <w:t>En l'espèce, il n'est pas contesté ni contestable qu'il existe, de manière générale, un intérêt public à ce que les banques suisses assurent la stabilité</w:t>
      </w:r>
    </w:p>
    <w:p>
      <w:r>
        <w:t>- 15/18 -</w:t>
      </w:r>
    </w:p>
    <w:p>
      <w:r>
        <w:t>C/11739/2016-4 juridique et économique de la place financière suisse en participant au programme volontaire de règlement fiscal mis en place par les autorités américaines et en assurant ainsi leur propre réputation et leur pérennité. L'appelante ne démontre cependant pas que cet intérêt public imposerait en l'espèce la communication des données litigieuses, et ce de manière prépondérante par rapport à l'intérêt de l'intimé à s'opposer à une telle communication. Il est en effet établi que l'appelante est parvenue à signer un accord de non poursuite avec le DoJ au mois d'octobre 2015 sans transmettre les documents en question. Si les autorités américaines se sont certes réservées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Il est ainsi peu probable que la non-communication des données litigieuses puisse avoir pour conséquence une remise en cause de l'accord trouvé avec les autorités américaines. L'appelante ne cite au demeurant aucun cas où une banque aurait vu son accord annulé ou aurait fait l'objet d'une poursuite ultérieure en raison d'une communication jugée incomplète. En tout état, il n'est pas établi qu'une annulation du Non-Prosecution Agreement conclu au mois ______ 2015 aurait des répercussions sur l'ensemble de la place financière suisse, respectivement raviverait le conflit fiscal opposant les banques suisses aux autorités américaines. L'appelante ne soutient notamment pas qu'elle serait une banque d'importance systémique et ce, à juste titre vu la nature de ses activités et le nombre restreint de ses succursales. Contrairement à ce que soutient l'appelante, l'intimé conserve pour sa part un intérêt important à ce que des données le concernant ne soient pas transmises aux autorités américaines. Il est en effet reconnu que les individus dont les données figurent sur les documents transmis aux autorités américaines courent le risque d'être retenus pour être interrogés, voire inculpés, au cas où ils se rendraient sur le sol américain, ces situations s'étant concrètement présentées pour certains d'entre eux. Même si ce risque est ténu dans le cas particulier, il ne peut être considéré comme purement théorique, compte tenu de la détermination affichée des autorités américaines de poursuivre toutes les personnes impliquées de près ou de loin dans l'évasion fiscale de contribuables du fisc américain. Au vu de ce qui précède, et dans la mesure où une dérogation fondée sur l'intérêt public doit être admise avec retenue, la décision du Tribunal de refuser d'admettre, comme motif justificatif, la nécessité de sauvegarder un intérêt public prépondérant n'est pas critiquable. Le jugement attaqué sera donc confirmé.</w:t>
      </w:r>
    </w:p>
    <w:p>
      <w:r>
        <w:t>- 16/18 -</w:t>
      </w:r>
    </w:p>
    <w:p>
      <w:r>
        <w:t>C/11739/2016-4</w:t>
      </w:r>
    </w:p>
    <w:p>
      <w:r>
        <w:rPr>
          <w:b/>
        </w:rPr>
        <w:t>E. 6</w:t>
      </w:r>
    </w:p>
    <w:p>
      <w:r>
        <w:t>Les frais judiciaires d'appel seront arrêtés à 3'000 fr. (art. 18 et 68 RTFMC) et mis à la charge de l'appelante qui succombe (art. 95, 105 al. 1 et 106 al. 1 CPC). Celle- ci sera donc condamnée à verser ce montant à l'Etat de Genève.</w:t>
      </w:r>
    </w:p>
    <w:p>
      <w:r>
        <w:t>Il n'est pas alloué de dépens (art. 22 al. 2 LACC), étant souligné que l'art. 115 CPC ne s'applique qu'aux frais judiciaires.</w:t>
      </w:r>
    </w:p>
    <w:p>
      <w:r>
        <w:t>* * * * *</w:t>
      </w:r>
    </w:p>
    <w:p>
      <w:r>
        <w:t>- 17/18 -</w:t>
      </w:r>
    </w:p>
    <w:p>
      <w:r>
        <w:t>C/11739/2016-4 PAR CES MOTIFS, La Chambre des prud'hommes, groupe 4 : A la forme : Déclare recevable l'appel formé le 14 septembre 2017 par A______ SA contre le jugement JTPH/305/2017 rendu le 13 juillet 2017 par le Tribunal des prud'hommes dans la cause C/11739/2016-4. Au fond : Confirme ce jugement. Déboute les parties de toutes autres conclusions. Sur les frais : Arrête les frais judiciaires d'appel à 3'000 fr. et les met à la charge de A______ SA. Condamne A______ SA à verser 3'000 fr. à l'Etat de Genève, soit pour lui les Services financiers du Pouvoir judiciaire. Dit qu'il n'est pas alloué de dépens. Siégeant : Monsieur Ivo BUETTI, président; Monsieur Olivier GROMETTO, juge employeur; Madame Ana ROUX, juge salariée; Madame Véronique BULUNDWE-LEVY, greffière.</w:t>
      </w:r>
    </w:p>
    <w:p>
      <w:r>
        <w:t>- 18/18 -</w:t>
      </w:r>
    </w:p>
    <w:p>
      <w:r>
        <w:t>C/11739/2016-4</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