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CAPH/23/2016 vom 3. Februar 2016</w:t>
      </w:r>
    </w:p>
    <w:p>
      <w:r>
        <w:t>GE Cour de justice, 2016-02-03, FR</w:t>
      </w:r>
    </w:p>
    <w:p>
      <w:r>
        <w:rPr>
          <w:b/>
        </w:rPr>
        <w:t xml:space="preserve">Quelle: </w:t>
      </w:r>
      <w:r>
        <w:t>https://mcp.opencaselaw.ch/entscheid/ge_gerichte_CAPH_23_2016</w:t>
      </w:r>
    </w:p>
    <w:p>
      <w:r>
        <w:t>FR: GE_GERICHTE CAPH/23/2016 du 3 février 2016</w:t>
      </w:r>
    </w:p>
    <w:p>
      <w:r>
        <w:t>IT: GE_GERICHTE CAPH/23/2016 del 3 febbraio 2016</w:t>
      </w:r>
    </w:p>
    <w:p>
      <w:pPr>
        <w:pStyle w:val="Heading2"/>
      </w:pPr>
      <w:r>
        <w:t>Erwägungen</w:t>
      </w:r>
    </w:p>
    <w:p>
      <w:r>
        <w:rPr>
          <w:b/>
        </w:rPr>
        <w:t>E. 1</w:t>
      </w:r>
    </w:p>
    <w:p>
      <w:r>
        <w:t>L'ordonnance attaquée ne peut faire l'objet d'un recours qu'aux conditions de l'art. 319 let. b ch. 2 CPC.</w:t>
      </w:r>
    </w:p>
    <w:p>
      <w:r>
        <w:rPr>
          <w:b/>
        </w:rPr>
        <w:t>E. 1.1</w:t>
      </w:r>
    </w:p>
    <w:p>
      <w:r>
        <w:t>En l'espèce, le recours a été déposé dans le délai et les formes requis par la loi (art. 321 al. 1 et 2 CPC). Il reste à déterminer s'il remplit la condition de l'art. 319 let. b ch. 2 CPC. Le recourant soutient, à cet égard, que son droit d'être entendu a été violé, dans la</w:t>
      </w:r>
    </w:p>
    <w:p>
      <w:r>
        <w:t>- 4/7 -</w:t>
      </w:r>
    </w:p>
    <w:p>
      <w:r>
        <w:t>C/5863/2015-3 mesure où il n'a pas eu connaissance de la requête de l'intimé D______, appuyée par les deux autres intimées, tendant à la simplification de la procédure.</w:t>
      </w:r>
    </w:p>
    <w:p>
      <w:r>
        <w:rPr>
          <w:b/>
        </w:rPr>
        <w:t>E. 1.2</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(ACJC/327/2012 précité et les références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arrêt du Tribunal fédéral 1C_458/2011 du 29 février 2012 consid. 3.1).</w:t>
      </w:r>
    </w:p>
    <w:p>
      <w:r>
        <w:rPr>
          <w:b/>
        </w:rPr>
        <w:t>E. 1.3</w:t>
      </w:r>
    </w:p>
    <w:p>
      <w:r>
        <w:t>En l'occurrence, par l'ordonnance attaquée, le Tribunal a implicitement admis la requête de l'intimé D______ tendant à limiter la procédure, requête qu'il n'avait pas transmise au recourant, pas plus qu'il ne lui avait fait suivre la détermination des deux sociétés intimées. Il a statué sans attendre que le recourant ne soit en mesure de lui faire parvenir sa détermination spontanée, effectuée sur la base des</w:t>
      </w:r>
    </w:p>
    <w:p>
      <w:r>
        <w:t>- 5/7 -</w:t>
      </w:r>
    </w:p>
    <w:p>
      <w:r>
        <w:t>C/5863/2015-3 copies des courriers reçues directement de leurs expéditeurs. A tout le moins, à supposer qu'il ait réceptionné cette détermination le jour même de la prise de son ordonnance, il n'y a pas fait allusion dans les motifs de sa décision.</w:t>
      </w:r>
    </w:p>
    <w:p>
      <w:r>
        <w:t>Ce faisant, il a violé le droit d'être entendu de la recourante.</w:t>
      </w:r>
    </w:p>
    <w:p>
      <w:r>
        <w:t>Compte tenu du caractère complexe de l'état de faits exposé dans la demande, des divers allégués relevant de la LEg, ce qui suppose que les faits seront établis d'office par le tribunal (art. 247 al. 2 let. a, 243 al. 2 let. a CPC), de l'instruction détaillée qui s'ensuivra, des multiples questions de droit concernées par les conclusions de fond du recourant, il est à prévoir une durée importante de la procédure. Dans la mesure où la décision attaquée a été rendue au commencement de celle-ci, il serait disproportionné d'exiger du recourant qu'il attende la reddition du jugement final sur le fond du litige pour se plaindre de la violation du droit d'être entendu commise à peine la cause introduite.</w:t>
      </w:r>
    </w:p>
    <w:p>
      <w:r>
        <w:t>Partant, la condition du préjudice difficilement réparable est réalisée.</w:t>
      </w:r>
    </w:p>
    <w:p>
      <w:r>
        <w:t>Le recours est ainsi recevable.</w:t>
      </w:r>
    </w:p>
    <w:p>
      <w:r>
        <w:rPr>
          <w:b/>
        </w:rPr>
        <w:t>E. 2</w:t>
      </w:r>
    </w:p>
    <w:p>
      <w:r>
        <w:t>La recourante fait valoir que l'ordonnance attaquée, outre qu'elle viole son droit d'être entendu, l'oblige à se défendre sur légitimation passive avant que le fond de l'affaire soit examiné.</w:t>
      </w:r>
    </w:p>
    <w:p>
      <w:r>
        <w:rPr>
          <w:b/>
        </w:rPr>
        <w:t>E. 2.1</w:t>
      </w:r>
    </w:p>
    <w:p>
      <w:r>
        <w:t>Le droit d'être entendu est une garantie constitutionnelle de caractère formel, dont la violation entraîne en principe l'annulation de la décision attaquée, indépendamment des chances de succès du recours au fond (ATF 137 I 195 consid. 2.2).</w:t>
      </w:r>
    </w:p>
    <w:p>
      <w:r>
        <w:rPr>
          <w:b/>
        </w:rPr>
        <w:t>E. 2.2</w:t>
      </w:r>
    </w:p>
    <w:p>
      <w:r>
        <w:t>En l'espèce, l'ordonnance attaquée, en ce qu'elle admettait implicitement la requête de l'intimé D______, a été rendue en violation du droit d'être entendu de la recourante, comme il l'a été retenu ci-dessus.</w:t>
      </w:r>
    </w:p>
    <w:p>
      <w:r>
        <w:t>Pour le surplus, elle a imparti un délai à toutes les parties pour se prononcer sur la question de la recevabilité de la demande et sur celle de la légitimation passive de D______. La lecture conjointe des motifs et du dispositif de l'ordonnance permet de comprendre que les parties n'étaient acheminées à se déterminer sur le caractère recevable de la demande qu'en tant que celle-ci était dirigée contre D______.</w:t>
      </w:r>
    </w:p>
    <w:p>
      <w:r>
        <w:t>Le délai accordé à cet effet, aujourd'hui échu, a été observé par les trois parties intimées mais pas par la recourante. Il n'était toutefois pas opposable à celle-ci, en raison du vice initial dont souffrait l'ordonnance déférée.</w:t>
      </w:r>
    </w:p>
    <w:p>
      <w:r>
        <w:t>Au vu de ce qui précède, cette décision sera annulée.</w:t>
      </w:r>
    </w:p>
    <w:p>
      <w:r>
        <w:t>- 6/7 -</w:t>
      </w:r>
    </w:p>
    <w:p>
      <w:r>
        <w:t>C/5863/2015-3</w:t>
      </w:r>
    </w:p>
    <w:p>
      <w:r>
        <w:t>Il appartiendra au Tribunal de communiquer à la recourante la requête du</w:t>
      </w:r>
    </w:p>
    <w:p>
      <w:r>
        <w:rPr>
          <w:b/>
        </w:rPr>
        <w:t>E. 4</w:t>
      </w:r>
    </w:p>
    <w:p>
      <w:r>
        <w:t>septembre 2015 de l'intimé D______, ainsi que la prise de position du</w:t>
      </w:r>
    </w:p>
    <w:p>
      <w:r>
        <w:rPr>
          <w:b/>
        </w:rPr>
        <w:t>E. 7</w:t>
      </w:r>
    </w:p>
    <w:p>
      <w:r>
        <w:t>septembre 2015 des sociétés intimées, puis de recueillir la détermination de la recourante, en laissant aux parties un temps suffisant pour toute réplique éventuelle avant de rendre une nouvelle décision. 3. Il n'est pas perçu de frais (art. 114 let. a CPC), ni alloué de dépens (art. 22 al. 2 LaCC). * * * * *</w:t>
      </w:r>
    </w:p>
    <w:p>
      <w:r>
        <w:t>- 7/7 -</w:t>
      </w:r>
    </w:p>
    <w:p>
      <w:r>
        <w:t>C/5863/2015-3 PAR CES MOTIFS, La Chambre des prud'hommes, groupe 3 : A la forme : Déclare recevable le recours formé par A______ contre l'ordonnance rendue par le Tribunal des prud'hommes le 9 septembre 2015 (OTPH/1282/2015). Au fond : Annule cette ordonnance. Déboute les parties de toutes autres conclusions de recours. Siégeant : Madame Sylvie DROIN, présidente; Monsieur Tito VILA, juge employeur, Madame Monique LENOIR, juge salariée;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