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CAPH/23/2007 vom 9. Februar 2007</w:t>
      </w:r>
    </w:p>
    <w:p>
      <w:r>
        <w:t>GE Cour de justice, 2007-02-09, FR</w:t>
      </w:r>
    </w:p>
    <w:p>
      <w:r>
        <w:rPr>
          <w:b/>
        </w:rPr>
        <w:t xml:space="preserve">Quelle: </w:t>
      </w:r>
      <w:r>
        <w:t>https://mcp.opencaselaw.ch/entscheid/ge_gerichte_CAPH_23_2007</w:t>
      </w:r>
    </w:p>
    <w:p>
      <w:r>
        <w:t>FR: GE_GERICHTE CAPH/23/2007 du 9 février 2007</w:t>
      </w:r>
    </w:p>
    <w:p>
      <w:r>
        <w:t>IT: GE_GERICHTE CAPH/23/2007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A______ et en juin 2003 pour B______. Il convient alors de se demander si l’article 333 al.1.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w:t>
      </w:r>
    </w:p>
    <w:p>
      <w:r>
        <w:t>Juridiction des prud’hommes</w:t>
      </w:r>
    </w:p>
    <w:p>
      <w:r>
        <w:t>Cause n° C/26142/2001-3 - 11 -</w:t>
      </w:r>
    </w:p>
    <w:p>
      <w:r>
        <w:t>* COUR D’APPEL *</w:t>
      </w:r>
    </w:p>
    <w:p>
      <w:r>
        <w:t>d’obligations contractuelles à l’acquéreur d’une chose réglé par le code des obligations ne préjuge pas de leur sort dans le cadre d’une procédure de faillite, alors qu’une application de l’article 333 al.1 CO est de nature à faire échouer une reprise dans le cadre de la faillite (cf. 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A______ et B______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al.1 CO, de telle sorte que E_____ ne possède pas la légitimation passive, et l’appel sera rejeté.</w:t>
      </w:r>
    </w:p>
    <w:p>
      <w:r>
        <w:t>6) L’appelante, qui succombe, sera condamnée aux frais de justice, arrêtés à fr. 800.-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