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CAPH/23/2005 vom 31. Januar 2005</w:t>
      </w:r>
    </w:p>
    <w:p>
      <w:r>
        <w:t>GE Cour de justice, 2005-01-31, FR</w:t>
      </w:r>
    </w:p>
    <w:p>
      <w:r>
        <w:rPr>
          <w:b/>
        </w:rPr>
        <w:t xml:space="preserve">Quelle: </w:t>
      </w:r>
      <w:r>
        <w:t>https://mcp.opencaselaw.ch/entscheid/ge_gerichte_CAPH_23_2005</w:t>
      </w:r>
    </w:p>
    <w:p>
      <w:r>
        <w:t>FR: GE_GERICHTE CAPH/23/2005 du 31 janvier 2005</w:t>
      </w:r>
    </w:p>
    <w:p>
      <w:r>
        <w:t>IT: GE_GERICHTE CAPH/23/2005 del 31 gennaio 2005</w:t>
      </w:r>
    </w:p>
    <w:p>
      <w:pPr>
        <w:pStyle w:val="Heading2"/>
      </w:pPr>
      <w:r>
        <w:t>Regeste</w:t>
      </w:r>
    </w:p>
    <w:p>
      <w:r>
        <w:t>Résumé: Un jugement par défaut est rendu suite à l'absence de l'Etat E. T forme appel du jugement alors qu'E forme opposition au défaut. La Cour suspend la procédure d'appel afin de respecter le principe du double degré de juridiction et précise que T devra être autorisée à modifier, compléter ou retirer son acte d'appel après avoir pris connaissance du jugement sur opposition.</w:t>
      </w:r>
    </w:p>
    <w:p>
      <w:pPr>
        <w:pStyle w:val="Heading2"/>
      </w:pPr>
      <w:r>
        <w:t>Volltext</w:t>
      </w:r>
    </w:p>
    <w:p>
      <w:r>
        <w:t>RÉPUBLIQUE ET CANTON DE GENÈVE Juridiction des prud’hommes</w:t>
      </w:r>
    </w:p>
    <w:p>
      <w:r>
        <w:t>Cause n° C/29142/2001 - 4</w:t>
      </w:r>
    </w:p>
    <w:p>
      <w:r>
        <w:t>POUVOIR JUDICIAIRE * COUR D’APPEL*</w:t>
      </w:r>
    </w:p>
    <w:p>
      <w:r>
        <w:t>CAPH/23/2005</w:t>
      </w:r>
    </w:p>
    <w:p>
      <w:r>
        <w:t>Madame T_________ Dom. élu : M. Serge Milani rue Sautter 25 Case postale 167 1211 Genève12</w:t>
      </w:r>
    </w:p>
    <w:p>
      <w:r>
        <w:t>Partie appelante</w:t>
      </w:r>
    </w:p>
    <w:p>
      <w:r>
        <w:t>D’une part</w:t>
      </w:r>
    </w:p>
    <w:p>
      <w:r>
        <w:t>E_______ Dom. élu : M. Alain Marti rue Michel Chauvet 3 1208 Genève</w:t>
      </w:r>
    </w:p>
    <w:p>
      <w:r>
        <w:t>Parties intimée</w:t>
      </w:r>
    </w:p>
    <w:p>
      <w:r>
        <w:t>D’autre part</w:t>
      </w:r>
    </w:p>
    <w:p>
      <w:r>
        <w:t>ARRET PRESIDENTIEL</w:t>
      </w:r>
    </w:p>
    <w:p>
      <w:r>
        <w:t>Du lundi 31 janvier 2005</w:t>
      </w:r>
    </w:p>
    <w:p>
      <w:r>
        <w:t>M. Christian MURBACH, président de la Cour d’appel des prud’hommes</w:t>
      </w:r>
    </w:p>
    <w:p>
      <w:r>
        <w:t>M. Patrick BECKER, greffier</w:t>
      </w:r>
    </w:p>
    <w:p>
      <w:r>
        <w:t>Juridiction des prud’hommes</w:t>
      </w:r>
    </w:p>
    <w:p>
      <w:r>
        <w:t>Cause n° C/29142/2001 - 4 - 2 -</w:t>
      </w:r>
    </w:p>
    <w:p>
      <w:r>
        <w:t>* COUR D’APPEL * Vu la demande de T_________, déposée le 29 novembre 2001 au greffe de la juridic- tion des prud'hommes contre la E_______, en paiement de fr. 633'110.-, plus intérêts moratoires, à titre de salaire du mois d’octobre 2001 (fr. 4'598.-), de solde du treizième salaire de l’année 2001 (fr. 3'831.60), d’indemnité contractuelle de départ (fr. 119'148.-), de salaire et de treizième salaire afférent au mois d’octobre 1998 (fr. 1'602.40) et d’indemnité en réparation du dommage subi ensuite de son non assujet- tissement au régime de sécurité sociale suisse (fr. 503’530.-);</w:t>
      </w:r>
    </w:p>
    <w:p>
      <w:r>
        <w:t>Vu le jugement par défaut du 23 septembre 2002, par lequel le Tribunal des prud’hom- mes, groupe 4, s’est déclaré incompétent à raison de la matière pour connaître des con- clusions en paiement de fr. 503'530.- à titre de dommages-intérêts et a condamné la E_______ à verser à T_________ les sommes de fr. 127'977.60 et 1'602.40, plus inté- rêts moratoires;</w:t>
      </w:r>
    </w:p>
    <w:p>
      <w:r>
        <w:t>Attendu que ledit jugement a été expédié pour notification à T_________ par pli LSI du 10 janvier 2003;</w:t>
      </w:r>
    </w:p>
    <w:p>
      <w:r>
        <w:t>Vu l’appel interjeté par T_________ contre ledit jugement par acte déposé au greffe de la Juridiction des prud’hommes le 12 février 2003, tendant à son annulation de la déci- sion en tant qu’elle déclarait irrecevables les conclusions en paiement de fr. 503'530.-, à la condamnation de la E_______ au paiement dudit montant, plus intérêts moratoires, et, pour le surplus, à la confirmation du jugement;</w:t>
      </w:r>
    </w:p>
    <w:p>
      <w:r>
        <w:t>Vu l’impossibilité de procéder à la notification de ce même jugement à la E_______ par la voie diplomatique;</w:t>
      </w:r>
    </w:p>
    <w:p>
      <w:r>
        <w:t>Vu la notification dudit jugement par voie édictale, dans la Feuille d’Avis Officielle de la République et canton de Genève du 26 novembre 2004;</w:t>
      </w:r>
    </w:p>
    <w:p>
      <w:r>
        <w:t>Vu le délai de soixante jours imparti à la E_______ pour faire opposition audit jugement;</w:t>
      </w:r>
    </w:p>
    <w:p>
      <w:r>
        <w:t>Vu l’opposition formée par la E_______ par acte déposé au greffe de la Juridiction des prud’hommes le 20 janvier 2005;</w:t>
      </w:r>
    </w:p>
    <w:p>
      <w:r>
        <w:t>Attendu qu’un jugement par défaut peut simultanément faire l’objet d’une opposition (art. 37 de la Loi sur la juridiction des prud’hommes, ci-après LJP) et d’un appel (art. 56 ss LJP), respectivement interjetés par la partie défaillante et la partie ayant comparu;</w:t>
      </w:r>
    </w:p>
    <w:p>
      <w:r>
        <w:t>Que dans cette hypothèse, il est souhaitable, pour respecter le double degré de juridic- tion, que la Cour d’appel des prud’hommes suspende l’instruction de l’appel jusqu’à dé- cision sur opposition (Bertossa/Gaillard/Guyet/Schmidt, Commentaire de la Loi gene- voise de procédure civile, n. 2 ad art. 294 et n. 5 ad art. 154);</w:t>
      </w:r>
    </w:p>
    <w:p>
      <w:r>
        <w:t>Que cette solution s’impose d’autant plus que l’appelant devra être autorisé à modifier, compléter ou retirer son acte d’appel après avoir pris connaissance du jugement sur op-</w:t>
      </w:r>
    </w:p>
    <w:p>
      <w:r>
        <w:t>Juridiction des prud’hommes</w:t>
      </w:r>
    </w:p>
    <w:p>
      <w:r>
        <w:t>Cause n° C/29142/2001 - 4 - 3 -</w:t>
      </w:r>
    </w:p>
    <w:p>
      <w:r>
        <w:t>* COUR D’APPEL * position (idem, n. 2 ad art. 294);</w:t>
      </w:r>
    </w:p>
    <w:p>
      <w:r>
        <w:t>Vu l’article 57 al. 1 LJP, à teneur duquel le Président de la Cour d’appel statue seul et sans audience sur toute question de nature procédurale;</w:t>
      </w:r>
    </w:p>
    <w:p>
      <w:r>
        <w:t>PAR CES MOTIFS</w:t>
      </w:r>
    </w:p>
    <w:p>
      <w:r>
        <w:t>Le président de la Cour d’appel des prud’hommes,</w:t>
      </w:r>
    </w:p>
    <w:p>
      <w:r>
        <w:t>Statuant seul et sans audience :</w:t>
      </w:r>
    </w:p>
    <w:p>
      <w:r>
        <w:t>- Suspend l’instruction de l’appel interjeté par T_________ contre le jugement rendu par défaut par le Tribunal des prud’hommes, groupe 4, en la présente cause, jusqu’à droit connu quant à l’opposition formée le 20 janvier 2005 par la E_______.</w:t>
      </w:r>
    </w:p>
    <w:p>
      <w:r>
        <w:t>La greffière de juridiction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