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CAPH/22/2007 vom 9. Februar 2007</w:t>
      </w:r>
    </w:p>
    <w:p>
      <w:r>
        <w:t>GE Cour de justice, 2007-02-09, FR</w:t>
      </w:r>
    </w:p>
    <w:p>
      <w:r>
        <w:rPr>
          <w:b/>
        </w:rPr>
        <w:t xml:space="preserve">Quelle: </w:t>
      </w:r>
      <w:r>
        <w:t>https://mcp.opencaselaw.ch/entscheid/ge_gerichte_CAPH_22_2007</w:t>
      </w:r>
    </w:p>
    <w:p>
      <w:r>
        <w:t>FR: GE_GERICHTE CAPH/22/2007 du 9 février 2007</w:t>
      </w:r>
    </w:p>
    <w:p>
      <w:r>
        <w:t>IT: GE_GERICHTE CAPH/22/2007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 et en juin 2003 pour B______.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w:t>
      </w:r>
    </w:p>
    <w:p>
      <w:r>
        <w:t>Juridiction des prud’hommes</w:t>
      </w:r>
    </w:p>
    <w:p>
      <w:r>
        <w:t>Cause n° C/26133/2001-3 - 11 -</w:t>
      </w:r>
    </w:p>
    <w:p>
      <w:r>
        <w:t>* COUR D’APPEL *</w:t>
      </w:r>
    </w:p>
    <w:p>
      <w:r>
        <w:t>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 et B______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 ne possède pas la légitimation passive, et l’appel sera rejeté.</w:t>
      </w:r>
    </w:p>
    <w:p>
      <w:r>
        <w:t>6) L’appelante, qui succombe, sera condamnée aux frais de justice, arrêtés à fr. 500.-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