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CAPH/21/2014 vom 6. Februar 2014</w:t>
      </w:r>
    </w:p>
    <w:p>
      <w:r>
        <w:t>GE Cour de justice, 2014-02-06, FR</w:t>
      </w:r>
    </w:p>
    <w:p>
      <w:r>
        <w:rPr>
          <w:b/>
        </w:rPr>
        <w:t xml:space="preserve">Quelle: </w:t>
      </w:r>
      <w:r>
        <w:t>https://mcp.opencaselaw.ch/entscheid/ge_gerichte_CAPH_21_2014</w:t>
      </w:r>
    </w:p>
    <w:p>
      <w:r>
        <w:t>FR: GE_GERICHTE CAPH/21/2014 du 6 février 2014</w:t>
      </w:r>
    </w:p>
    <w:p>
      <w:r>
        <w:t>IT: GE_GERICHTE CAPH/21/2014 del 6 febbraio 2014</w:t>
      </w:r>
    </w:p>
    <w:p>
      <w:pPr>
        <w:pStyle w:val="Heading2"/>
      </w:pPr>
      <w:r>
        <w:t>Erwägungen</w:t>
      </w:r>
    </w:p>
    <w:p>
      <w:r>
        <w:rPr>
          <w:b/>
        </w:rPr>
        <w:t>E. 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 présent appel, qui respecte les dispositions précitées, est recevable. Il en va de même de l'appel joint (art. 313 al. 1 CPC).</w:t>
      </w:r>
    </w:p>
    <w:p>
      <w:r>
        <w:rPr>
          <w:b/>
        </w:rPr>
        <w:t>E. 2</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(art. 317 al. 1 CPC).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(STERCHI, in Commentaire bernois,</w:t>
      </w:r>
    </w:p>
    <w:p>
      <w:r>
        <w:t>- 10/17 -</w:t>
      </w:r>
    </w:p>
    <w:p>
      <w:r>
        <w:t>C/7715/2011-5 n° 2 ad art. 317 CPC).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(HOHL, Procédure civile, Berne 2001, vol. I, nos 755 et 756 p. 146). Dans les mêmes buts, cette exigence était consacrée aussi par le droit genevois antérieur au code unifié (BERTOSSA/GAILLARD/GUYET/SCHMID, Commentaire de la loi de procédure civile du canton de Genève, nos 2 et 5 ad art. 126 LPC). L'allégation globale d'un ensemble de faits par simple référence aux pièces produites n'est pas suffisante (HOHL, ibid.; HURNI, in Commentaire bernois, n° 21 ad art. 55 CPC);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considérant 3.2). En l'espèce, dès le début de la procédure, les parties se sont opposées sur la question du motif du congé signifié à l'employé, tel que précisé dès le 30 septembre 2010, à savoir "la qualité insuffisante et approximative" du travail accompli. Il appartenait ainsi aux parties de produire tous les documents utiles à prouver, respectivement à rendre vraisemblables, les motifs invoqués de part et d'autre, dont les titres relatifs à la qualité du travail faisaient partie. Dans la mesure où il est constant que ceux-ci étaient alors à disposition des parties, ils devaient être produits au Tribunal. Partant, les pièces déposées en appel ne sont pas recevables.</w:t>
      </w:r>
    </w:p>
    <w:p>
      <w:r>
        <w:rPr>
          <w:b/>
        </w:rPr>
        <w:t>E. 2.3</w:t>
      </w:r>
    </w:p>
    <w:p>
      <w:r>
        <w:t>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Droit du travail, 2008, p. 534; cf. ég. ATF 130 III 699 consid. 4.1 p. 703; arrêt du Tribunal fédéral 4A_346/2009, du 20 octobre 2009, consid. 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w:t>
      </w:r>
    </w:p>
    <w:p>
      <w:r>
        <w:t>- 14/17 -</w:t>
      </w:r>
    </w:p>
    <w:p>
      <w:r>
        <w:t>C/7715/2011-5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3</w:t>
      </w:r>
    </w:p>
    <w:p>
      <w:r>
        <w:t>L'appelant reproche au Tribunal de ne pas avoir retenu qu'il avait droit à un salaire équivalent à la moyenne de ceux perçus par les autres associés gérants de l'intimée.</w:t>
      </w:r>
    </w:p>
    <w:p>
      <w:r>
        <w:rPr>
          <w:b/>
        </w:rPr>
        <w:t>E. 3.1</w:t>
      </w:r>
    </w:p>
    <w:p>
      <w:r>
        <w:t>L'art. 322 al. 1 CO prévoit que l'employeur paie au travailleur le salaire convenu, usuel ou fixé par un contrat-type de travail, ou par une convention collective. En droit suisse, la rémunération du travailleur obéit en règle générale au principe de la liberté contractuelle (ATF 122 III 110 consid. 4b p. 112). Une partie de la doctrine et certaines jurisprudences cantonales déduisent de l'art. 328 CO et des art. 28ss CC un droit général à l'égalité de traitement dans les rapports de travail. Constituerait ainsi une violation de l'art. 328 CO toute décision de l'employeur dont il résulte qu'un travailleur est moins bien traité que ses collègues, sans raison objective et fondée. Un tel raisonnement doit cependant être</w:t>
      </w:r>
    </w:p>
    <w:p>
      <w:r>
        <w:t>- 11/17 -</w:t>
      </w:r>
    </w:p>
    <w:p>
      <w:r>
        <w:t>C/7715/2011-5 accueilli avec réserve. En effet, selon la conception retenue dans l'ordre juridique suisse, l'égalité de traitement est un droit fondamental qui n'est en principe directement opposable qu'à l'État, sous réserve du droit à l'égalité salariale entre les sexes (art. 8 al. 3 Cst, art. 3 LEg). Dans les relations entre personnes privées c'est, sous la réserve indiquée, le principe de la liberté contractuelle qui prédomine (DUNAND, Commentaire du contrat de travail, 2013 ad art. 328 n. 53 et les références citées). Selon le Tribunal fédéral, il faut toutefois prendre en considération que même une décision subjective et arbitraire de l'employeur ne représente une atteinte à la personnalité, et donc une contravention à l'interdiction de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(ATF 129 III 276 consid. 3.1 p. 282 s. et les références citées). Ainsi,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(arrêt du Tribunal fédéral 4A_63/2007 du 6 juillet 2007, consid. 4.2).</w:t>
      </w:r>
    </w:p>
    <w:p>
      <w:r>
        <w:rPr>
          <w:b/>
        </w:rPr>
        <w:t>E. 3.2</w:t>
      </w:r>
    </w:p>
    <w:p>
      <w:r>
        <w:t>En l'espèce, il est constant que les parties se sont liées par un contrat de travail, dès novembre 2008, et qu'elles ont ensuite mis par écrit les conditions de celui-ci, valables dès juin 2009. Aucun autre texte ne régit leurs relations.</w:t>
      </w:r>
    </w:p>
    <w:p>
      <w:r>
        <w:t>L'appelant voit une discrimination dans le fait que sa rémunération était inférieure à celle de trois autres employés de l'intimée, rémunération inférieure qui n'est pas contestée.</w:t>
      </w:r>
    </w:p>
    <w:p>
      <w:r>
        <w:t>Selon lui, le fait que ces autres personnes, de même sexe que lui-même, étaient, à son instar, associés gérants, au bénéfice de signature individuelle, de l'intimée, commanderait un traitement salarial identique.</w:t>
      </w:r>
    </w:p>
    <w:p>
      <w:r>
        <w:t>- 12/17 -</w:t>
      </w:r>
    </w:p>
    <w:p>
      <w:r>
        <w:t>C/7715/2011-5</w:t>
      </w:r>
    </w:p>
    <w:p>
      <w:r>
        <w:t>Ce faisant, il confond les dispositions qui régissent le droit de la société à responsabilité limitée, lesquelles consacrent en effet, sous cet aspect, le principe de l'égalité de traitement entre les associés (art. 813 CO), et celles liées au contrat de travail.</w:t>
      </w:r>
    </w:p>
    <w:p>
      <w:r>
        <w:t>Pour le surplus, il est admis que les termes du contrat, notamment les conditions salariales, ont été discutés entre les parties, et que l'appelant a accepté le montant offert, lequel lui paraissait correspondre à ses connaissances de la situation comptable de la société, et à l'effort qu'il estimait que chacun des associés devait consentir. Il est également admis qu'il n'a pas requis l'adjonction, dans son contrat, d'une clause d'échelonnement de salaire ou de treizième voire quatorzième salaire, même s'il soutient qu'un accord oral, contesté, existait en ce sens.</w:t>
      </w:r>
    </w:p>
    <w:p>
      <w:r>
        <w:t>L'appelant allègue, ce qui est contesté, qu'il n'aurait pas connu le niveau réel de rémunération des autres associés, du fait de ceux-ci. Il admet, toutefois, qu'il n'aurait pas été empêché, en sa qualité d'associé gérant, de consulter, outre les états financiers de l'intimée, diverses pièces justificatives à disposition, et par là d'obtenir les informations nécessaires.</w:t>
      </w:r>
    </w:p>
    <w:p>
      <w:r>
        <w:t>Dans ces conditions, l'appelant n'est pas parvenu à établir qu'il aurait été trompé par ses coassociés, ni qu'il aurait accepté par erreur le salaire qui lui était offert, de sorte que son consentement n'était pas vicié.</w:t>
      </w:r>
    </w:p>
    <w:p>
      <w:r>
        <w:t>Il résulte, pour le surplus, du contrat du 21 mai 2009 que l'appelant était subordonné à deux des autres associés. Sa critique à cet égard apparaît vaine, et il ne justifie en rien la raison pour laquelle il aurait souscrit à cette mention si elle n'avait, selon lui, pas correspondu à la réalité. En ce qui concerne le troisième associé (D______), il est résulté des enquêtes que deux autres employées de l'intimée (témoins I______ et J______, dont rien ne commande, contrairement à l'avis de l'appelant, de remettre en cause les déclarations) étaient subordonnées à cet associé, outre les deux dont dépendait également, selon son contrat, l'appelant. Ce dernier n'a pas allégué qu'il aurait eu, pour sa part, des personnes qui lui étaient subordonnées. Cette différence, objective, est donc déjà de nature à légitimer une différence de traitement.</w:t>
      </w:r>
    </w:p>
    <w:p>
      <w:r>
        <w:t>A teneur du contrat toujours, l'appelant était engagé en qualité de biologiste, sans mention aucune d'une fonction directoriale. Certes, une brochure éditée par l'intimé le présente comme "CMO"; à supposer qu'il ait en effet exercé une telle fonction, cette circonstance ne serait pas suffisante, à elle seule, pour lui permettre de lui attribuer un salaire comparable à ses autres collègues et associés, notamment en l'absence de responsabilités hiérarchiques. C'est ainsi à raison que les premiers juges ont débouté l'employé de ses prétentions en différence de salaire. Le jugement entrepris sera confirmé sur ce point.</w:t>
      </w:r>
    </w:p>
    <w:p>
      <w:r>
        <w:rPr>
          <w:b/>
        </w:rPr>
        <w:t>E. 4</w:t>
      </w:r>
    </w:p>
    <w:p>
      <w:r>
        <w:t>Dans son appel joint, l'intimée fait grief aux premiers juges d'avoir considéré comme abusif le licenciement signifié à l'appelant.</w:t>
      </w:r>
    </w:p>
    <w:p>
      <w:r>
        <w:t>- 13/17 -</w:t>
      </w:r>
    </w:p>
    <w:p>
      <w:r>
        <w:t>C/7715/2011-5</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w:t>
      </w:r>
    </w:p>
    <w:p>
      <w:r>
        <w:rPr>
          <w:b/>
        </w:rPr>
        <w:t>E. 4.2</w:t>
      </w:r>
    </w:p>
    <w:p>
      <w:r>
        <w:t>En l'occurrence, il est constant que le licenciement de l'employé lui a été signifié oralement lors d'une entrevue. Après que celui-ci eut réclamé la communication des raisons précises de son congé, l'intimée a avancé la qualité insuffisante et approximative du travail. Elle a utilisé les mêmes termes dans l'attestation établie en faveur de l'assurance-chômage. Enfin, dans un courrier du 21 décembre 2010, elle a repris le motif précité, qu'elle a développé et illustré d'exemples.</w:t>
      </w:r>
    </w:p>
    <w:p>
      <w:r>
        <w:t>Cette insuffisance de prestations a été évoquée par le témoin J______ (bien qu'elle ait aussi constaté que le travail en lien avec les changements de milieux était bien fait même s'il prenait du temps), qui a rapporté avoir entendu des discussions à ce sujet entre collègues, ainsi que par le témoin I______, qui a repris certaines des tâches de l'intéressé et constaté qu'il y avait des manquements.</w:t>
      </w:r>
    </w:p>
    <w:p>
      <w:r>
        <w:t>Le motif ainsi avancé trouve une assise, relative, dans ces déclarations, qui font ressortir une certaine insatisfaction, connue dans les "discussions entre collègues", loin de présenter toutefois le caractère aigu résultant des reproches énoncés dans les documents des 30 septembre et 21 décembre 2010. A cet égard, il est surprenant que l'employeur n'ait à aucune reprise, au cours des mois écoulés, formalisé les manquements constatés, et se soit borné à des rappels oraux allégués, mais non démontrés.</w:t>
      </w:r>
    </w:p>
    <w:p>
      <w:r>
        <w:t>L'employé, pour sa part, a soutenu dans sa demande le caractère abusif de son congé par référence à une atteinte grave à sa personnalité liée à du harcèlement et du dénigrement systématique dans ses qualités professionnelles comme dans sa personne, par référence à une variation des motifs invoqués en septembre et en décembre 2010, et enfin en relation avec des prétentions émises lors du dépôt de la demande de brevet.</w:t>
      </w:r>
    </w:p>
    <w:p>
      <w:r>
        <w:t>Le premier de ces éléments ne s'est pas vérifié. Aucune déclaration n'a été recueillie à cet égard; la thèse liée à la nationalité de l'intéressé indispensable lors de la formation de la société et plus ultérieurement, ou une comparaison avec le cas d'un tiers, F______, n'ont pas plus trouvé de fondement dans le dossier.</w:t>
      </w:r>
    </w:p>
    <w:p>
      <w:r>
        <w:t>Quant aux divergences de motifs alléguées entre les documents de septembre et décembre 2010, elles ne reposent sur aucun élément concret. Au contraire, les motivations apparaissent semblables dans leur contenu, sinon dans leur expression.</w:t>
      </w:r>
    </w:p>
    <w:p>
      <w:r>
        <w:t>- 15/17 -</w:t>
      </w:r>
    </w:p>
    <w:p>
      <w:r>
        <w:t>C/7715/2011-5</w:t>
      </w:r>
    </w:p>
    <w:p>
      <w:r>
        <w:t>Le troisième aspect mis en évidence par l'employé trouve, en revanche, appui dans la chronologie des faits, à savoir que le licenciement est intervenu après l'épisode lié à la procédure de brevet. En première instance, l'intimée n'a donné aucun élément propre à établir à quel moment avait été prise la décision de congédier l'employé, admettant simplement que celle-ci avait été communiquée lors d'une réunion requise par celui-ci. Cette précision paraît ainsi se heurter à la thèse soutenue en appel, et qui ne s'appuie sur aucun élément objectif, selon laquelle il avait été résolu dès la fin août 2010 de se séparer de l'appelant, ce qui n'avait toutefois pas pu être porté à la connaissance de l'intéressé avant la séance hebdomadaire ordinaire du 13 septembre 2010. Cette version ne semble pas non plus se concilier de façon convaincante avec la circonstance que l'appelant a participé, début septembre 2010, à un congrès en Autriche, avec deux autres de ses associés, qui auraient ainsi favorisé un déplacement pour le compte de l'intimée, dans le même temps qu'ils taisaient tout de leurs futures intentions. Elle ne concorde pas plus avec l'allégué, formulé pour la première fois en appel, selon lequel une collaboratrice (témoin I______) avait été engagée à compter de septembre 2010 – sans autre précision temporelle - aux fins de remplacer l'appelant, singulièrement dans ses tâches de contrôle de qualité, allégué duquel l'intimée entend déduire la preuve qu'elle avait pris sa décision de licenciement avant les prétentions émises en lien avec la procédure de brevet.</w:t>
      </w:r>
    </w:p>
    <w:p>
      <w:r>
        <w:t>Pour le surplus, il n'est pas contesté que l'appelant a requis des explications au sujet de la procédure de brevet et fait valoir, à tort ou à raison, sa prétention d'y être partie prenante, bien qu'il ait considéré que cette procédure n'était pas opportune, et qu'il ait ultérieurement aussi élevé des revendications à ce propos en sa qualité d'associé. Cela n'était pas le souhait de l'employeur, quelle que soit sa motivation à cet égard. Rien n'établit que l'appelant n'aurait pas été de bonne foi.</w:t>
      </w:r>
    </w:p>
    <w:p>
      <w:r>
        <w:t>Il s'ensuit que l'appelant est parvenu à présenter des indices suffisamment vraisemblables à l'appui de sa thèse selon laquelle son insistance à se voir inclus dans la procédure de brevet avait contrarié l'employeur, au point de le conduire à décider une rupture du contrat de travail, dont rien n'établit qu'elle avait été envisagée jusqu'alors. Par conséquent, le véritable motif du licenciement apparaît la revendication émise par l'employé en lien avec la procédure de brevet, tandis que le motif avancé dans les courriers de septembre et décembre 2010 ne semble, en tout cas dans la mesure invoquée, pas réel. Le congé contrevient donc à l'art. 336 al. 1 let. d CO.</w:t>
      </w:r>
    </w:p>
    <w:p>
      <w:r>
        <w:t>A l'instar des premiers juges, la Cour retiendra donc que le licenciement de l'appelant était abusif.</w:t>
      </w:r>
    </w:p>
    <w:p>
      <w:r>
        <w:rPr>
          <w:b/>
        </w:rPr>
        <w:t>E. 4.3</w:t>
      </w:r>
    </w:p>
    <w:p>
      <w:r>
        <w:t>En cas de licenciement avec effet immédiat injustifié, le travailleur a droit, sauf cas exceptionnel, à une indemnité représentant au maximum six mois de salaire et fixée en tenant compte de toutes les circonstances (art. 337c al. 3 CO).</w:t>
      </w:r>
    </w:p>
    <w:p>
      <w:r>
        <w:t>- 16/17 -</w:t>
      </w:r>
    </w:p>
    <w:p>
      <w:r>
        <w:t>C/7715/2011-5 Cette indemnité-ci est de même nature et vise les mêmes buts que l'indemnité prévue à l'art. 336a CO en cas de licenciement abusif (ATF 123 V 5 consid. 2a p. 7). La nature juridique de l'indemnité prescrite à l'art. 336a CO - et, partant, de l'indemnité pour licenciement immédiat injustifié - a fait l'objet d'une analyse approfondie dans l'arrêt publié aux ATF 123 III 391. Le Tribunal fédéral a relevé la double finalité - punitive et réparatrice - de l'indemnité. Comme elle est due même si le travailleur ne subit aucun dommage, il ne s'agit pas de dommages- 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(cf arrêt du Tribunal fédéral 4A_590/2008 du 22 avril 2009, consid. 3.1). Le Tribunal a, en l'occurrence, arrêté à 15'000 fr. le montant dû au titre d'indemnité prévue par l'art. 336a al. 3 CO. Ce montant, dont la quotité n'est pas critiquée en tant que telle par l'intimée, tient correctement compte des circonstances pertinentes d'espèce, notamment de la durée relativement brève des rapports de travail, de l'âge de l'intéressé, et des effets du licenciement sur ce dernier, qui a connu des difficultés dans ses recherches d'emploi, et n'a trouvé de travail qu'à 50% dans un domaine différent du sien. Le jugement attaqué sera dès lors confirmé.</w:t>
      </w:r>
    </w:p>
    <w:p>
      <w:r>
        <w:rPr>
          <w:b/>
        </w:rPr>
        <w:t>E. 5</w:t>
      </w:r>
    </w:p>
    <w:p>
      <w:r>
        <w:t>Les frais de l'appel principal seront arrêtés à 1'500 fr., correspondant à l'avance déjà effectuée, tandis que l'appel joint n'est pas soumis à émolument (art. 71 RTFMC); ils seront supportés par l'appelant, qui succombe (art. 106 al. 1 CPC). Il n'est pas alloué de dépens (art. 22 LaCC). * * * * *</w:t>
      </w:r>
    </w:p>
    <w:p>
      <w:r>
        <w:t>- 17/17 -</w:t>
      </w:r>
    </w:p>
    <w:p>
      <w:r>
        <w:t>C/7715/2011-5</w:t>
      </w:r>
    </w:p>
    <w:p>
      <w:r>
        <w:t>PAR CES MOTIFS, La Chambre des prud'hommes, groupe 5 : À la forme : Déclare recevable l'appel formé par A______ et l'appel joint formé par B______ Sàrl contre le jugement rendu le 22 avril 2013 par le Tribunal des prud'hommes. Au fond : Confirme ce jugement. Déboute les parties de toute autre conclusion. Sur les frais judiciaires d'appel : Arrête les frais judiciaires de l'appel de A______ à 1'500 fr, couverts par l'avance déjà opérée, acquise à l'ÉTAT DE GENEVE. Les met à la charge de A______. Siégeant : Madame Sylvie DROIN, présidente; Madame Denise BOËX, juge employeur, Madame Béatrice BESSE,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