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CAPH/218/2015 vom 22. Dezember 2015</w:t>
      </w:r>
    </w:p>
    <w:p>
      <w:r>
        <w:t>GE Cour de justice, 2015-12-22, FR</w:t>
      </w:r>
    </w:p>
    <w:p>
      <w:r>
        <w:rPr>
          <w:b/>
        </w:rPr>
        <w:t xml:space="preserve">Quelle: </w:t>
      </w:r>
      <w:r>
        <w:t>https://mcp.opencaselaw.ch/entscheid/ge_gerichte_CAPH_218_2015</w:t>
      </w:r>
    </w:p>
    <w:p>
      <w:r>
        <w:t>FR: GE_GERICHTE CAPH/218/2015 du 22 décembre 2015</w:t>
      </w:r>
    </w:p>
    <w:p>
      <w:r>
        <w:t>IT: GE_GERICHTE CAPH/218/2015 del 22 dicembre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 Il en va de même de l'appel joint (art. 313 CPC).</w:t>
      </w:r>
    </w:p>
    <w:p>
      <w:r>
        <w:rPr>
          <w:b/>
        </w:rPr>
        <w:t>E. 2.1</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par l'intimé, postérieures à la date à laquelle le Tribunal a gardé la cause à juger, sont recevables, bien que non pertinentes pour l'issue du litige.</w:t>
      </w:r>
    </w:p>
    <w:p>
      <w:r>
        <w:rPr>
          <w:b/>
        </w:rPr>
        <w:t>E. 3</w:t>
      </w:r>
    </w:p>
    <w:p>
      <w:r>
        <w:t>L'appelante reproche au Tribunal d'avoir violé l'art. 340 CO en retenant, sur la base de faits appréciés de manière erronée, que la clause de non concurrence n'était pas valable. 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w:t>
      </w:r>
    </w:p>
    <w:p>
      <w:r>
        <w:t>- 10/15 -</w:t>
      </w:r>
    </w:p>
    <w:p>
      <w:r>
        <w:t>C/11103/2013-4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AUBRY GIRARDIN, in Commentaire du contrat de travail, DUNAND/MAHON éd., 2013, n. 25 et 29 ss ad art. 340). Si l'une des conditions posées par l'art. 340 al. 2 CO fait défaut, la clause est entièrement nulle. 3.1.2 Les articles 340 et 340a CO ne concernent que la prohibition de concurrence après la fin des rapports de travail. Pendant la durée de ceux-ci, la prohibition résulte, en cas de contrat de travail, du devoir de fidélité consacré par l'art. 321 al. 1 et 3 CO (arrêt du Tribunal fédéral 4C.210/2005 du 11 novembre 2005 consid. 2). 3.1.3 L'instance d'appel peut administrer des preuves (art.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w:t>
      </w:r>
    </w:p>
    <w:p>
      <w:r>
        <w:t>- 11/15 -</w:t>
      </w:r>
    </w:p>
    <w:p>
      <w:r>
        <w:t>C/11103/2013-4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4.3.2). 3.2.1 En l'espèce, l'appelante n'a pas allégué précisément quelles étaient les tâches de l'intimé, en particulier la nature et l'importance des contacts qu'il devait avoir avec les clients ou des renseignements qu'il devait recueillir ou dont il avait connaissance. Elle n'a pas non plus exposé les démarches qu'elle avait entreprises, en matière de prospection de clientèle. Les objectifs fixés à l'intimé, notamment la conclusion de nombreux contrats d'assurance-maladie ou d'autres assurances, permettent de retenir qu'il incombait à ce dernier d'entreprendre des démarches personnelles en vue de trouver des clients et non pas seulement d'utiliser des listes ou outils fournis par l'appelante. La définition du "nouveau client" figurant à l'art. 7 du contrat, soit "celui qui est entré en relation d'affaires avec A______ uniquement grâce aux efforts de l'employé", corrobore ce qui précède. Deux témoins, anciens clients de l'appelante, ont d'ailleurs fait état des relations personnelles qu'ils entretenaient avec l'intimé. Il ressort sans conteste des déclarations du témoin I______ que celui-ci avait connu l'intimé alors qu'il était employé dans une autre société et avait continué à recourir à ses services lorsqu'il travaillait chez l'appelante, puis lorsqu'il s'était installé comme indépendant, ce qui démontre l'importance des liens personnels entretenus avec l'intimé voire de celle des capacités professionnelles de celui-ci. L'autre témoin, G______, a exposé que l'intimé était un ami de sa fille. Elle ignorait qu'elle était son statut professionnel (employé ou indépendant), preuve que cela lui était indifférent, les liens personnels et les capacités professionnelles apparaissant dès lors prépondérants. Certes l'appelante a fait valoir que plusieurs clients lui avait rapporté avoir été démarchés par l'intimé mais ne souhaitaient pas témoigner. Elle n'a cependant pas fourni le nom de ces personnes ni même interrogé l'intimé sur la relation que celui-ci entretenait avec celles-là. Elle a ainsi échoué à démontrer que l'intimé avait détourné à son profit les efforts de prospection qu'elle avait déployés, lui causant de la sorte un préjudice sensible. La résiliation de plusieurs contrats après le départ de l'intimé est à cet égard insuffisante, sans compter que des contrats ont également été résiliés alors que l'intimé était encore employé de l'appelante et que les témoins entendus ont tous déclaré qu'ils avaient certes conclu de nouveaux contrats avec l'intimé, mais sans résilier ceux les liant à l'appelante. Au vu des considérations qui précèdent, c'est à bon droit que les premiers juges ont retenu que la personnalité et les capacités personnelles de l'intimé étaient</w:t>
      </w:r>
    </w:p>
    <w:p>
      <w:r>
        <w:t>- 12/15 -</w:t>
      </w:r>
    </w:p>
    <w:p>
      <w:r>
        <w:t>C/11103/2013-4 prépondérantes, et qu'en conséquence il n'existait pas de lien de causalité entre sa connaissance des clients et la possibilité de causer un préjudice à l'appelante, de sorte que la clause de concurrence n'était pas valable. 3.2.2 Une nouvelle audition du témoin I______ ne se justifie aucunement. Tout d'abord, quoiqu'en dise l'appelante, les propos du témoin sont clairs, s'agissant du moins de sa relation avec l'intimé. De plus, compte tenu des autres éléments figurant au dossier tels que retenus ci-dessus, cette audition ne permettrait pas d'aboutir à une autre solution. 3.2.3 La conclusion, durant la relation contractuelle, de contrats par l'intimé en son propre nom, au détriment de l'appelante n'a pas non plus été établie, de sorte qu'il ne saurait être fait droit aux conclusions de l'appelante pour ce motif non plus. 3.2.4 Le jugement sera confirmé.</w:t>
      </w:r>
    </w:p>
    <w:p>
      <w:r>
        <w:rPr>
          <w:b/>
        </w:rPr>
        <w:t>E. 4</w:t>
      </w:r>
    </w:p>
    <w:p>
      <w:r>
        <w:t>L'intimé, appelant joint, sans contester le principe du remboursement des commissions perçues pour les contrats résiliés ultérieurement – qui est acquis – reproche au Tribunal d'avoir retenu que le montant allégué par l'appelante et dû par lui à ce titre était établi.</w:t>
      </w:r>
    </w:p>
    <w:p>
      <w:r>
        <w:rPr>
          <w:b/>
        </w:rPr>
        <w:t>E. 4.1</w:t>
      </w:r>
    </w:p>
    <w:p>
      <w:r>
        <w:t>Chaque partie doit prouver les faits qu'elle allègue pour en déduire son droit (art. 8 CC).</w:t>
      </w:r>
    </w:p>
    <w:p>
      <w:r>
        <w:t>La preuve a pour objet les faits pertinents et contestés (art. 150 al. 1 CPC).</w:t>
      </w:r>
    </w:p>
    <w:p>
      <w:r>
        <w:t>Pour la partie qui conteste les allégations de l'autre partie, il suffit que sa contestation soit assez précise pour que l'autre partie comprenne quels sont les faits non admis et dont elle devra en conséquence apporter la preuve. Suivant les circonstances, une contestation globale pourra suffire et des exigences plus sévères, analogues à celles qui s'appliquent à la partie qui a la charge de l'allégation, ne pourraient tout au plus s'imposer que dans des circonstances de nécessité en matière de preuve (Beweisnot) (arrêt du Tribunal fédéral 4A_629/2009 du 10 août 2010 c. 4.1, SJ 2011 I 12; ATF 117 II 113 c. 2, JdT 1992 I 307; ATF 115 II 1 c. 4, JdT 1989 I 547; arrêts du Tribunal fédéral 5A_710/2009 du 22 février 2010 c. 2.3.1, 5P.391/2006 du 18 décembre 2006, c. 3.2 et 4P.255/2004 du 18 mars 2005 c. 4.2).</w:t>
      </w:r>
    </w:p>
    <w:p>
      <w:r>
        <w:t>Le devoir de contestation ne saurait conduire à un renversement du fardeau de la preuve (art. 8 CC; ATF 115 II 1 et réf., JdT 1989 I 547). Sous cet angle, l'exigence qu'une contestation soit suffisamment concrète pour que l'on puisse déterminer quelles allégations précises du demandeur sont contestées n'est pas contraire au droit fédéral. En ce qui concerne en particulier les décomptes de construction, on peut attendre du maître d'œuvre qu'il expose en détail quelles positions il ne reconnaît pas, afin de donner à l'entrepreneur la possibilité d'apporter des preuves</w:t>
      </w:r>
    </w:p>
    <w:p>
      <w:r>
        <w:t>- 13/15 -</w:t>
      </w:r>
    </w:p>
    <w:p>
      <w:r>
        <w:t>C/11103/2013-4 à ce sujet. Ceci résulte déjà du principe de la bonne foi (ATF 117 II 113 c. 2, JdT 1992 I 307).</w:t>
      </w:r>
    </w:p>
    <w:p>
      <w:r>
        <w:t>Le tribunal établit sa conviction par une libre appréciation des preuves administrées (art. 157 CPC).</w:t>
      </w:r>
    </w:p>
    <w:p>
      <w:r>
        <w:rPr>
          <w:b/>
        </w:rPr>
        <w:t>E. 4.2</w:t>
      </w:r>
    </w:p>
    <w:p>
      <w:r>
        <w:t>En l'espèce, l'intimé conteste de manière globale les montants réclamés par l'appelante. Il ne précise pas lesquels de ceux figurant sur les différents décomptes ou justificatifs produits sont admis ou contestés, se limitant à soutenir que l'appelante n'a pas établi les faits sur lesquels elle fonde ses prétentions. Cette manière de faire est critiquable.</w:t>
      </w:r>
    </w:p>
    <w:p>
      <w:r>
        <w:t>Cela étant, l'appelante a réclamé, dans sa demande initiale, 12'629 fr. 22 à titre des ristournes dues après le fin du contrat, soit de novembre 2012 à août 2013, dont à déduire 3'481 fr. 15 portés au crédit du compte de caution, soit 9'148 fr. 07. Ce montant a été porté 13'105 fr. 92 le 2 juillet 2014.</w:t>
      </w:r>
    </w:p>
    <w:p>
      <w:r>
        <w:t>A l'appui de ses conclusions, l'appelante a produit des tableaux récapitulatifs des ristournes dues par l'intimé et de celles débitées du compte caution (pièces 12 et 14), établis par ses soins, et des relevés émis par les assurances concernées, comprenant le montant des ristournes et le nom des clients visés par lesdites ristournes (soit ceux ayant résiliés les contrats) (annexes à la pièce 14).</w:t>
      </w:r>
    </w:p>
    <w:p>
      <w:r>
        <w:t>Les montants figurant sur les tableaux récapitulatifs établis par l'appelante ne correspondent que partiellement à ceux résultant des relevés de ristournes, émis par les assurances concernées. Seuls ces derniers sont propres à établir ce à quoi l'appelante à droit, l'intimé n'ayant pas contesté que l'un ou l'autre des clients figurant sur ces relevés n'était pas le sien. Ainsi, selon les relevés produits sous pièce 14, les ristournes dues de novembre 2012 à avril 2014, pour des contrats imputables à l'intimé mais résiliés ultérieurement, totalisent 17'398 fr. 85. Il convient de déduire de ce montant le solde du compte caution au 31 octobre 2012 tel qu'allégué par l'appelante, soit 3'418 fr. 15. Sur ce dernier point, l'intimé n'a fait que contester en bloc les ristournes et montants portés au crédit du compte caution prises en compte jusqu'au 30 octobre 2012 mais résultant de relevés et fiches de paie signés par lui, de sorte qu'il se justifie de tenir pour établi la somme de 3'418 fr. 15.</w:t>
      </w:r>
    </w:p>
    <w:p>
      <w:r>
        <w:t>En conclusion, il est établi que l'intimé doit à l'appelante, au titre des ristournes de novembre 2012 à avril 2014 la somme totale de 13'980 fr. 70, soit 17'398 fr. 85 moins 3'418 fr. 15. Le Tribunal ne pouvant statuer ultra petita, c'est à bon droit qu'il a alloué à l'appelante le plein de ses conclusions.</w:t>
      </w:r>
    </w:p>
    <w:p>
      <w:r>
        <w:t>Le jugement sera confirmé sur ce point également.</w:t>
      </w:r>
    </w:p>
    <w:p>
      <w:r>
        <w:rPr>
          <w:b/>
        </w:rPr>
        <w:t>E. 5</w:t>
      </w:r>
    </w:p>
    <w:p>
      <w:r>
        <w:t>La procédure est gratuite (art. 114 let. c CPC).</w:t>
      </w:r>
    </w:p>
    <w:p>
      <w:r>
        <w:t>- 14/15 -</w:t>
      </w:r>
    </w:p>
    <w:p>
      <w:r>
        <w:t>C/11103/2013-4</w:t>
      </w:r>
    </w:p>
    <w:p>
      <w:r>
        <w:t>Il n'est pas alloué de dépens (art. 22 al. 2 LaCC). * * * * *</w:t>
      </w:r>
    </w:p>
    <w:p>
      <w:r>
        <w:t>- 15/15 -</w:t>
      </w:r>
    </w:p>
    <w:p>
      <w:r>
        <w:t>C/11103/2013-4 PAR CES MOTIFS, La Chambre des prud'hommes, groupe 4 : A la forme : Reçoit l'appel et l'appel joint formés le 12 février 2015 par A______ et le 23 mars 2015 par B______ contre le jugement JTPH/4/2015 rendu le 12 janvier 2015 dans la cause C/11103/2013-4. Au fond : Confirme le jugement. Déboute les parties de toutes autres conclusions. Dit que la procédure est gratuite. Dit qu'il n'est pas alloué de dépens. Siégeant : Madame Pauline ERARD, présidente; Madame Nadia FAVRE, juge employeur, Madame Christiane VERGARA-PIZZETTA, juge salariée;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