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CAPH/216/2021 vom 25. November 2021</w:t>
      </w:r>
    </w:p>
    <w:p>
      <w:r>
        <w:t>GE Cour de justice, 2021-11-25, FR</w:t>
      </w:r>
    </w:p>
    <w:p>
      <w:r>
        <w:rPr>
          <w:b/>
        </w:rPr>
        <w:t xml:space="preserve">Quelle: </w:t>
      </w:r>
      <w:r>
        <w:t>https://mcp.opencaselaw.ch/entscheid/ge_gerichte_CAPH_216_2021</w:t>
      </w:r>
    </w:p>
    <w:p>
      <w:r>
        <w:t>FR: GE_GERICHTE CAPH/216/2021 du 25 novembre 2021</w:t>
      </w:r>
    </w:p>
    <w:p>
      <w:r>
        <w:t>IT: GE_GERICHTE CAPH/216/2021 del 25 novembre 2021</w:t>
      </w:r>
    </w:p>
    <w:p>
      <w:pPr>
        <w:pStyle w:val="Heading2"/>
      </w:pPr>
      <w:r>
        <w:t>Erwägungen</w:t>
      </w:r>
    </w:p>
    <w:p>
      <w:r>
        <w:rPr>
          <w:b/>
        </w:rPr>
        <w:t>E. 1.1</w:t>
      </w:r>
    </w:p>
    <w:p>
      <w:r>
        <w:t>En application de son article 1er, let. a, le Code de procédure civile suisse est applicable à la présente cause. Selon l’art. 154 CPC, les ordonnances de preuve sont rendues par le juge avant l’administration des preuves. Elles désignent en particulier les moyens de preuve admis et peuvent être modifiées ou complétées en tout temps. Le recours est recevable contre les ordonnances d’instruction de première instance dans les cas prévus par la loi (art. 319 let. b ch. 1 CPC) ou lorsqu’elles peuvent causer un préjudice difficilement réparable (art. 319 let. b ch.</w:t>
      </w:r>
    </w:p>
    <w:p>
      <w:r>
        <w:rPr>
          <w:b/>
        </w:rPr>
        <w:t>E. 1.2</w:t>
      </w:r>
    </w:p>
    <w:p>
      <w:r>
        <w:t>En l’espèce, le recours a été interjeté dans le délai et formes requises. Sa recevabilité est pour le surplus soumise à la condition qu’il existe un risque de préjudice difficilement réparable pour la partie recourante, au sens de l’art. 319 let. b ch. 2 CPC.</w:t>
      </w:r>
    </w:p>
    <w:p>
      <w:r>
        <w:t>- 5/9 -</w:t>
      </w:r>
    </w:p>
    <w:p>
      <w:r>
        <w:t>C/24159/2019-4</w:t>
      </w:r>
    </w:p>
    <w:p>
      <w:r>
        <w:rPr>
          <w:b/>
        </w:rPr>
        <w:t>E. 2</w:t>
      </w:r>
    </w:p>
    <w:p>
      <w:r>
        <w:t>CPC). Le recours doit être introduit, par écrit et motivé, dans un délai de dix jours (art. 321 al. 2 CPC) et peut être interjeté pour violation du droit ou constatation manifestement inexacte des faits (art. 320 CPC).</w:t>
      </w:r>
    </w:p>
    <w:p>
      <w:r>
        <w:rPr>
          <w:b/>
        </w:rPr>
        <w:t>E. 2.1</w:t>
      </w:r>
    </w:p>
    <w:p>
      <w:r>
        <w:t>La notion de préjudice difficilement réparable est plus large que celle de dommage irréparable de l'art. 93 al. 1 let. a LTF, puisqu'elle devrait viser également les désavantages de fait (JT 2011 III 86 c. 3 et références; Jeandin, op. cit., n. 22 ad art. 319 CPC ; HOHL, Procédure civile, tome lI, 2e éd., Berne 2010, n. 2485, p. 449). La question de savoir s'il existe un préjudice difficilement réparable s'apprécie par rapport aux effets de la décision incidente sur la cause principale, respectivement la procédure principale (ATF 137 III 380 c. 1.2.2 ; arrêt du TF [4A_560/2011] du 11 janvier 2012 c. 2.2). L’art. 319 let. b ch. 2 ne vise pas seulement un inconvénient de nature juridique, mais toute incidence dommageable (y compris financière ou temporelle), pourvu qu’elle soit difficilement réparable (BOHNET, RDS II 2009, 209 ; GASSER/RICKLI, art. 319 N 3 [qui renvoient à l’art. 261] ; MEIER, Zivilprozessrecht, 470 ; BK ZPO-STERCHI, art. 319 N 11 ; STAEHELIN/STAEHELIN/GROLIMUND, § 26 N 31a ; contra : BSK ZPO-SPÜHLER, art. 319 N 7). L’instance supérieure devra toutefois se montrer exigeante, voire restrictive, avant que d’admettre l’accomplissement de cette dernière condition, sous peine d’ouvrir le recours à toute décision ou ordonnance d’instruction, ce que le législateur a clairement exclu : il s’agit de se prémunir contre le risque d’un prolongement sans fin du procès (JEANDIN, Les voies de droit, 351). La jurisprudence retient à juste titre que si une décision est susceptible de causer un préjudice irréparable au sens de l’art. 93 al. 1 let. a LTF, elle peut a fortiori entraîner un préjudice difficilement réparable au sens de l’art. 319 let. b ch. 2 (ATF 137 III 380, c. 2.2 ; TF, arrêt du 6 mai 2014, 5A_150/2014, c. 3.2 ; BK ZPO-STERCHI, art. 319 N 12 ; HOFMANN/LUSCHER, 299). La notion de « préjudice difficilement réparable » est à mettre en relation avec les termes identiques utilisés à l’art. 261 al. 1 let. b (JEANDIN, Commentaire Romand du Code de procédure civile, 2ème édition, p. 1547, n° 22 et 22a ad art. 319, GRASSER/RICKLI, art. 319 N 3 et art. 261 N 4) et ne saurait se recouper avec celle – plus restrictive – de « préjudice irréparable » utilisée à l’art. 93 al. 1 let. a LTF qui exclut la prise en compte d’un préjudice factuel ou économique (ATF 134 I 83, c. 3.1 ; BSK BGG-UHLMANN, art. 93 LTF N 3 ; LTF-CORBOZ, art. 93 N 16).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(SPÜHLER, in: Basler Kommentar ZPO, 2013, n. 7 ad art. 319 CPC; HOFFMANN-NOWOTNY, in: ZPO-Rechtsmittel, Berufung und Beschwerde, 2013, n. 25 ad art. 319 CPC ; TC VS, arrêt du 7 novembre 2011, TCV C3 11 125, c. 2 ; TC BL, arrêt du 15 novembre 2011, 410 11 279/ZWH, c. 1.2 ; TC GE, arrêt du 26 janvier 2011, C/22838/2010, c. 2 ; TC FR, arrêt du 11 juin 2012, 101 2012-137-138, c. 1 ; TC ZH, arrêt du 19 mars 2015, PD150004-O/U, c. 2.3.1). Un préjudice difficilement réparable existe</w:t>
      </w:r>
    </w:p>
    <w:p>
      <w:r>
        <w:t>- 6/9 -</w:t>
      </w:r>
    </w:p>
    <w:p>
      <w:r>
        <w:t>C/24159/2019-4 lorsque ledit préjudice ne pourra plus être réparé par un jugement au fond favorable au recourant, ce qui surviendra par exemple lorsque des secrets d’affaires sont révélés ou qu’il a atteinte à des droits absolus à l’instar de la réputation, de la propriété et du droit à la sphère privée (TC BE, arrêt du 2 avril 2014, ZK 13/700, c. 7), ou encore lorsqu’une ordonnance de preuve ordonne une expertise ADN présentant un risque pour la santé (art. 296 al. 2) ce qui a pour corollaire une atteinte à la personnalité au sens de l’art. 28 CC (TF, arrêt du 16 mars 2015, 5A_745/2014, c. 1.2.3 [préjudice irréparable au sens de l’art. 93 al. 1 let. a LTF]). En outre, un préjudice irréparable de nature juridique ne doit pas pouvoir être ultérieurement réparé ou entièrement réparé par une décision finale favorable au recourant (ATF 134 III 188 c. 2.1 et c. 2.2).</w:t>
      </w:r>
    </w:p>
    <w:p>
      <w:r>
        <w:rPr>
          <w:b/>
        </w:rPr>
        <w:t>E. 2.2</w:t>
      </w:r>
    </w:p>
    <w:p>
      <w:r>
        <w:t>Lorsqu'une personne morale est partie au procès, ses organes sont traités comme une partie dans la procédure d'administration des preuves (art. 159 CPC). Dans un arrêt ATF 141 III 80 cité par la recourante, le Tribunal fédéral a rappelé les principes applicables en matière de représentation des personnes morales en procédure. Ainsi,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(LEUENBERGER/UFFER-TOBLER, Schweizerisches Zivilprozessrecht, 2010, n. 9.127; BOHNET, in La personne morale et l'entreprise en procédure, 2014, p. 15 n. 35, p. 18 n. 44 et p. 42 n. 122; BRÖNNIMANN, in Berner Kommentar, Schweizerische Zivilprozessordnung, 2012, nos 3, 4 et 9 ad art. 159 CPC; HASENBÖHLER, in Kommentar zur Schweizerischen Zivilprozessordnung, SUTTER-SOMM/ HASENBÖHLER/ LEUENBERGER [éd.], 2e éd. 2013, n° 3 ad art. 159 CPC).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 SUTTER-SOMM/ HASENBÖHLER/ LEUENBERGER, loc. cit.; BOHNET, loc. cit.; LEU, in Schweizerische Zivilprozessordnung, BRUNNER/GASSER/SCHWANDER [éd.], 2011, n° 6 ad art. 159 CPC). Toutes ces personnes sont organes, expriment directement la volonté de la société et sont inscrites au registre du commerce (art. 720 CO). En troisième lieu, sans avoir la</w:t>
      </w:r>
    </w:p>
    <w:p>
      <w:r>
        <w:t>- 7/9 -</w:t>
      </w:r>
    </w:p>
    <w:p>
      <w:r>
        <w:t>C/24159/2019-4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dans ce sens déjà, pour la comparution à l'audience de conciliation : ATF 140 III 70 consid. 4.3 p. 72; cf. LEUCH/MARBACH/KELLERHALS/STERCHI, Die Zivilprozessordnung für den Kanton Bern, 5e éd. 2000, n° 1a ad art. 83 CPC/BE).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ainsi à la capacité d'ester en justice de celle-ci. Il s'agit d'une condition de recevabilité de la demande (art. 59 al. 2 let. c CPC). Le fait que cette ou ces personnes ne doivent ensuite être interrogées que comme partie (art. 159 CPC en relation avec les art. 163-164 et 191-192 CPC), et non comme témoin (art. 169 ss en relation avec les art. 165-167 CPC), qu'elles peuvent donc avoir des contacts avec l'avocat de la société anonyme, peuvent assister aux audiences au cours desquelles sont notamment interrogés les témoins, n'en est qu'une conséquence). Dans cet arrêt, le Tribunal fédéral a considéré que la cour cantonale, en n'admettant comme représentant de la société défenderesse qu'une seule personne qui, au demeurant, n'avait que la signature collective à deux, avait privé la société de son droit de désigner le membre du conseil d'administration, le directeur, le fondé de procuration ou le mandataire commercial, ce dernier avec pouvoir exprès pour plaider, qui avaient personnellement connaissance des faits de la cause pour la représenter en justice et qu'une telle décision était susceptible de causer un préjudice irréparable au sens de l'art. 93 al. 1 let. a LTF, dès lors que la question de savoir si une autre personne ou d'autres personnes auraient pu également représenter la société ne pourrait pratiquement pas être soulevée avec la décision finale.</w:t>
      </w:r>
    </w:p>
    <w:p>
      <w:r>
        <w:rPr>
          <w:b/>
        </w:rPr>
        <w:t>E. 2.3</w:t>
      </w:r>
    </w:p>
    <w:p>
      <w:r>
        <w:t>La situation qui se présente en l'espèce est toutefois différente à celle de l'arrêt ATF 141 III 80 précité. En la présente cause, le Tribunal n'a en effet pas restreint le nombre des représentants autorisés de la recourante, il a au contraire admis l'audition des personnes que la recourante avait elle-même sollicitée. Le Tribunal a seulement considéré que trois de ces personnes devaient être considérées comme des organes de la recourante ou y être assimilées, de sorte qu'il s'imposait de les entendre en qualité de partie et non en qualité de témoin, comme la recourante le souhaitait pour deux d'entre elles. Le Tribunal des prud'hommes n'a ainsi nullement restreint le droit de la recourante de faire entendre les personnes dont</w:t>
      </w:r>
    </w:p>
    <w:p>
      <w:r>
        <w:t>- 8/9 -</w:t>
      </w:r>
    </w:p>
    <w:p>
      <w:r>
        <w:t>C/24159/2019-4 l'audition avait été sollicitée par celle-ci, de sorte que les conséquences tirées de cette restriction ne sont pas applicables dans la présente procédure, comme le plaide la recourante. La question soulevée en réalité par l'appelante est celle de savoir si une partie a le droit de choisir si faire entendre un organe d'une personne morale en qualité de partie ou en qualité de témoin.</w:t>
      </w:r>
    </w:p>
    <w:p>
      <w:r>
        <w:rPr>
          <w:b/>
        </w:rPr>
        <w:t>E. 2.4</w:t>
      </w:r>
    </w:p>
    <w:p>
      <w:r>
        <w:t>Comme l'a relevé à juste titre l'intimée, et comme l'arrêt du Tribunal fédéral ATF 141 III 80 cité par la recourante elle-même le rappelle pour le surplus, c'est la loi qui définit qui doit être assimilé à un organe d'une personne morale partie à une procédure judiciaire au sens de l'art. 159 CPC, et le fait que cette ou ces personnes ne doivent ensuite être interrogées que comme partie en application de l'art. 159 CPC et non comme témoin, au sens des art. 169 ss CPC, n'en est qu'une conséquence. Il en résulte que les parties à la procédure n'ont pas le droit, ni le pouvoir de modifier cette qualification selon leur désir, ni, par conséquent, de faire entendre en qualité de témoin une personne assimilée par la loi à une partie. Dès lors que la recourante n'a pas un droit à choisir elle-même de faire entendre une personne assimilée à un organe en qualité de témoin, plutôt qu'en qualité de partie, elle ne démontre aucun risque de dommage difficilement réparable en l'espèce et le recours devra par conséquent être déclaré irrecevable, sans qu'il soit nécessaire de trancher le grief d'absence de motivation soulevé par ailleurs par la recourante.</w:t>
      </w:r>
    </w:p>
    <w:p>
      <w:r>
        <w:rPr>
          <w:b/>
        </w:rPr>
        <w:t>E. 3</w:t>
      </w:r>
    </w:p>
    <w:p>
      <w:r>
        <w:t>La valeur litigieuse excédant 50'000 fr., les frais de recours seront arrêtés à 3'000 fr. et seront compensés avec l’avance effectuée par la recourante, laquelle demeure acquise à l'Etat de Genève (art. 19 al. 3 let. c LaCC, art. 71 RTFMC). Il n’est pas alloué de dépens (art. 22 al. 2 LaCC).</w:t>
      </w:r>
    </w:p>
    <w:p>
      <w:r>
        <w:t>* * * * *</w:t>
      </w:r>
    </w:p>
    <w:p>
      <w:r>
        <w:t>- 9/9 -</w:t>
      </w:r>
    </w:p>
    <w:p>
      <w:r>
        <w:t>C/24159/2019-4 PAR CES MOTIFS, La Chambre des prud'hommes, groupe 4: Déclare irrecevable le recours formé le 21 juillet 2021 par A______ SA contre le chiffre</w:t>
      </w:r>
    </w:p>
    <w:p>
      <w:r>
        <w:rPr>
          <w:b/>
        </w:rPr>
        <w:t>E. 8</w:t>
      </w:r>
    </w:p>
    <w:p>
      <w:r>
        <w:t>de l’ordonnance d’instruction et de preuves OTPH/1376/2021 rendue le 13 juillet 2021 par le Tribunal des prud’hommes. Sur les frais: Arrête les frais judiciaires de recours à 3'000 fr., les met à la charge de A______ SA et dit qu'ils sont entièrement compensés par l'avance de frais versée par celle-ci, laquelle demeure acquise à l'Etat de Genève. Siégeant : Monsieur Adriano GIANINAZZI, président ; Madame Nadia FAVRE, juge employeur ; Monsieur Thierry ZEHNDER, juge salarié ;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