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CAPH/205/2019 vom 27. November 2019</w:t>
      </w:r>
    </w:p>
    <w:p>
      <w:r>
        <w:t>GE Cour de justice, 2019-11-27, FR</w:t>
      </w:r>
    </w:p>
    <w:p>
      <w:r>
        <w:rPr>
          <w:b/>
        </w:rPr>
        <w:t xml:space="preserve">Quelle: </w:t>
      </w:r>
      <w:r>
        <w:t>https://mcp.opencaselaw.ch/entscheid/ge_gerichte_CAPH_205_2019</w:t>
      </w:r>
    </w:p>
    <w:p>
      <w:r>
        <w:t>FR: GE_GERICHTE CAPH/205/2019 du 27 novembre 2019</w:t>
      </w:r>
    </w:p>
    <w:p>
      <w:r>
        <w:t>IT: GE_GERICHTE CAPH/205/2019 del 27 novembre 2019</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2</w:t>
      </w:r>
    </w:p>
    <w:p>
      <w:r>
        <w:t>L'appelante estime que, contrairement à l'opinion du Tribunal, le licenciement avec effet immédiat de l'intimé était justifié.</w:t>
      </w:r>
    </w:p>
    <w:p>
      <w:r>
        <w:rPr>
          <w:b/>
        </w:rPr>
        <w:t>E. 2.1</w:t>
      </w:r>
    </w:p>
    <w:p>
      <w:r>
        <w:t>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(ATF 137 III 303 consid. 2.1.1; 130 III 28 consid. 4.1; 129 III 380 consid. 2.2).</w:t>
      </w:r>
    </w:p>
    <w:p>
      <w:r>
        <w:t>- 7/15 -</w:t>
      </w:r>
    </w:p>
    <w:p>
      <w:r>
        <w:t>C/4161/2018-5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Lorsqu'il est moins grave, le manquement ne peut entraîner une résiliation immédiate que s'il a été répété malgré un avertissement (ATF 142 III 579 consid. 4.2; 130 III 213 consid. 3.1). L'employeur peut toutefois s'en abstenir lorsqu'il ressort de l'attitude de l'employé qu'une telle démarche serait inutile (ATF 127 III 153 consid. 1b).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incombe à la partie qui a résilié le contrat de travail avec effet immédiat d'établir l'existence des conditions de celle-ci (justes motifs, avertissement, etc.) (arrêt du Tribunal fédéral 4A_37/2010 du 13 avril 2010 consid. 4.1).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arrêts du Tribunal fédéral 4A_177/2017 du 22 juin 2017 consid. 2.3; 4A_105/2018 du 10 octobre 2018 consid. 3.2; 4C.51/2006 du 27 juin 2006 consid. 2.2.3). Selon la jurisprudence, un licenciement immédiat a été considéré justifié au sein d'un établissement médico-social soit un cadre "où il est notoirement requis des employés qu'ils soient particulièrement retenus dans leurs gestes", à l'encontre d'une employée qui avait levé la main sur l'une de ses collègues (CAPH/56/2013 du 1er juillet 2013) et à l'encontre d'un soignant ayant l'intention d'entretenir une relation sexuelle avec une patiente de 96 ans dont il n'avait pas pu être déterminé si elle était consentante ou non (CAPH/195/2003 du 24 septembre 2003). Dans les structures de soins, le licenciement avec effet immédiat est réservée aux cas graves et répétés de violation des instructions de l'employeur (HENSCH,</w:t>
      </w:r>
    </w:p>
    <w:p>
      <w:r>
        <w:t>- 8/15 -</w:t>
      </w:r>
    </w:p>
    <w:p>
      <w:r>
        <w:t>C/4161/2018-5 Arbeitsrechtliche Fragen der spitalexternen Krankenpflege, Pflegerecht 2012 p. 17).</w:t>
      </w:r>
    </w:p>
    <w:p>
      <w:r>
        <w:rPr>
          <w:b/>
        </w:rPr>
        <w:t>E. 2.2</w:t>
      </w:r>
    </w:p>
    <w:p>
      <w:r>
        <w:t>En l'espèce, l'appelante, pour justifier le licenciement immédiat prononcé à l'encontre de l'intimé, se réfère au contexte particulier des soins prodigués en EMS et des obligations afférentes aux employés de ce milieu, du rôle de formateur et de cadre de l'intimé, des circonstances des lancers de feutre, des réactions de personnes présentes et de fautes passées de l'intimé. Il ne paraît pas contestable que le travail en milieu médico-social implique une position particulière des employés face aux résidents, qui sont, souvent, diminués dans leurs capacités cognitives et physiques. Cela n'implique cependant pas que tout écart à la politesse à leur égard soit prohibé et que les employés en question, en particulier lorsqu'ils sont membres d'une équipe d'animation, fassent preuve de déférence absolue à l'égard des résidents. Au contraire, ces établissements étant un lieu de vie, à moyen ou long terme pour la plupart des résidents, il semble bien plutôt qu'une certaine familiarité, contenue dans certaines limites, soit inévitable et bénéfique à l'humeur et au bien-être des personnes âgées en particulier. Ainsi, contrairement à ce que soutient l'appelante, si le personnel d'EMS doit tout particulièrement veiller aux besoins des résidents les plus affaiblis, l'on ne saurait la suivre lorsqu'elle en déduit que tout comportement s'assimilant à de la familiarité serait interdit. A ce titre, le cahier des charges de l'intimé, auquel se réfère l'appelante, ne fait que reprendre les conceptions qui précèdent. Il s'ensuit que le Tribunal n'a pas occulté dans son jugement des aspects essentiels des obligations de l'intimé en tant qu'employé. De surcroît, l'appelante entend désormais qualifier l'intimé de formateur et de cadre alors qu'elle n'a jamais allégué de telles positions au sein de l'entreprise en première instance. Outre que ses faits nouveaux sont irrecevables en appel, il ne ressort pas de l'argumentation de l'appelante en quoi les comportements reprochés constitueraient une violation de ses devoirs de formateur, si ce n'est qu'il ne s'était pas comporté de façon exemplaire devant une stagiaire, ni, d'ailleurs, dans quelle mesure il avait des responsabilités particulières à l'égard de la stagiaire concernée, mis à part d'exercer son travail en sa présence. Contrairement à ce que soutient l'appelante, il ne résulte pas du cahier des charges que l'intimé aurait eu une quelconque responsabilité à l'égard des stagiaires, puisqu'il n'est fait référence qu'aux apprentis. De surcroît, il n'a jamais été soutenu par l'appelante à l'appui du licenciement immédiat qu'il reposerait sur une violation des devoirs de formateur de l'intimé. Quant à une prétendue position de "cadre", il est peu crédible de soutenir qu'un employé en classe 15, payé quelque 5'000 fr. bruts par mois, pourrait être considéré comme tel, sur le simple fondement qu'il organisait seul des animations et qu'il suppléait à la responsable en son absence.</w:t>
      </w:r>
    </w:p>
    <w:p>
      <w:r>
        <w:t>- 9/15 -</w:t>
      </w:r>
    </w:p>
    <w:p>
      <w:r>
        <w:t>C/4161/2018-5 Quoi qu'il en soit, même à retenir que l'intimé occupait une position de formateur ou de cadre, les circonstances des incidents à l'origine du licenciement ont été correctement appréciées par le Tribunal. S'agissant du premier incident, l'appelante discute la question de savoir si le feutre serait tombé sur les jambes du résident ou à côté de lui. Cette distinction paraît de peu d'importance dans la mesure où il s'agit d'examiner si le geste revêtait une gravité telle qu'elle justifiât un licenciement immédiat. Or, il ressort du dossier que le geste de l'intimé était dénué de violence ou de tout caractère méchant et que le jet du feutre n'était d'aucune manière de nature à blesser le résident. Quelle que soit la valeur probante de la reconstitution effectuée en audience à l'instigation du Tribunal, il n'existe pas un seul élément du dossier permettant de retenir que le feutre aurait pu d'une manière ou d'une autre porter atteinte à l'intégrité physique du résident. Celui-ci ne s'est d'ailleurs pas rendu compte de l'événement, puisqu'il a continué à sommeiller. En outre, l'appelante entend faire prévaloir les déclarations de la stagiaire qu'elle avait elle-même recueillies au sein de l'entreprise sur sa déposition de témoin entendue par le Tribunal, ce qui n'est pas possible. Il s'ensuit qu'il peut être retenu que le geste de l'intimé était dénué de méchanceté et de violence, même à supposer que le stylo ait touché le résident. Quant au second incident, les mêmes constatations sont applicables, si ce n'est qu'il est ici certain que le stylo n'a pas touché le résident. L'appelante procède à de longs développements sur la distance depuis laquelle le stylo aurait été lancé en rapport avec la surface de la pièce où s'étaient déroulés ces événements, sans pour autant avoir allégué en première instance ou en appel la taille de ladite pièce, ni produit aucune pièce à cet égard. Il n'en reste pas moins que l'on ne discerne pas sur quel motif elle se fonde pour affirmer que ce feutre présentait un danger pour le résident ou d'autres personnes, puisqu'il ne ressort pas du dossier qu'un autre résident se serait trouvé sur la trajectoire. Il s'agit de pures conjectures, du même ordre de celle imaginant la présence d'un journaliste dans la pièce, qui confinent à la fantaisie. En lien avec le second incident, il faut souligner que le licenciement était plus particulièrement fondé sur le fait d'avoir traité de voleur le résident et de l'avoir stigmatisé. Or, ce comportement ne ressort pas des preuves administrées et l'appelante ne l'allègue plus en appel. Cependant, il est établi que le résident avait des tendances cleptomanes. Ainsi, il n'était concevable qu'il décide de s'emparer de téléphones et qu'il ait été ensuite difficile de les retrouver, puis de les utiliser à nouveau, de sorte que la volonté de l'intimé de l'en empêcher ne paraît un motif futile. Quoi qu'il en soit, l'on ne saurait augmenter la gravité des comportements en se prévalant, à l'instar de l'appelante, des réactions des autres personnes présentes. Que le comportement de l'intimé n'ait pas été exemplaire, ce qui ne saurait être</w:t>
      </w:r>
    </w:p>
    <w:p>
      <w:r>
        <w:t>- 10/15 -</w:t>
      </w:r>
    </w:p>
    <w:p>
      <w:r>
        <w:t>C/4161/2018-5 contesté, et qu'il ait heurté des personnes présentes ne signifie pas encore qu'il était d'une gravité telle qu'il justifiait un renvoi immédiat. Bien au contraire, aucune plainte n'est parvenue à la direction, si ce n'est près de trois semaines plus tard, lorsque le collègue de l'intimé a rapporté les faits à la responsable. Le fait que celle-ci était en vacances ne justifie pas à lui seul que l'employé ait attendu aussi longtemps. En effet, il semble que le comportement de l'employé dénonciateur a été adéquat dans la mesure où un tel comportement de l'intimé pouvait justifier que l'employeur lui indique qu'elle ne le tolérerait pas à l'avenir, mais ce comportement ne justifiait en aucun cas la prise de mesures d'urgence. Retenir que les autres employés ou résidents ont été choqués provisoirement ou de manière durable est une extrapolation qui ne ressort pas du dossier, puisqu'il semble au contraire que les résidents ont conservé leur affection pour l'intimé jusqu'à son départ. A l'instar du Tribunal, il faut en déduire que la réaction, somme toute modérée des personnes présentes, démontre la gravité limitée du geste de l'intimé. Enfin, les écarts de l'intimé en lien avec les horaires et des somnolences ne présentent aucun rapport avec ce que lui a reproché l'appelante pour justifier son licenciement immédiat et n'ont pas été invoqué à l'appui de celui-ci. L'appelante est donc malvenue de s'en prévaloir. Il s'ensuit que le Tribunal a, à bon droit, qualifié de maladroit le geste de l'intimé, à savoir d'avoir lancé sans force et sans agressivité un feutre en direction de deux résidents, lesquels n'ont pas été mis en danger et ne se sont même pas rendus compte de ce qui se passait. Il est erroné de soutenir que l'intimé ne pouvait pas manifester des formes de camaraderie et de familiarité avec les résidents sauf à déshumaniser sa fonction d'animateur. En l'absence de toute mise en danger des résidents, l'intimé n'a pas violé fondamentalement ses devoirs, ni de manière répétée, malgré des avertissements. Il s'ensuit que, même en tenant compte du contexte particulier d'un EMS, le licenciement immédiat ne reposait pas sur des justes motifs. Au vu de ce qui précède, il n'y a pas lieu d'examiner si le licenciement est intervenu à temps. La décision du Tribunal sera donc confirmée sur ce point.</w:t>
      </w:r>
    </w:p>
    <w:p>
      <w:r>
        <w:rPr>
          <w:b/>
        </w:rPr>
        <w:t>E. 3</w:t>
      </w:r>
    </w:p>
    <w:p>
      <w:r>
        <w:t>L'appelante conteste l'allocation d'un montant à titre d'indemnité de vacances, ainsi que d'un montant à titre d'indemnité pour licenciement immédiat injustifié.</w:t>
      </w:r>
    </w:p>
    <w:p>
      <w:r>
        <w:rPr>
          <w:b/>
        </w:rPr>
        <w:t>E. 3.1.1</w:t>
      </w:r>
    </w:p>
    <w:p>
      <w:r>
        <w:t>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w:t>
      </w:r>
    </w:p>
    <w:p>
      <w:r>
        <w:t>- 11/15 -</w:t>
      </w:r>
    </w:p>
    <w:p>
      <w:r>
        <w:t>C/4161/2018-5 4C.291/2005 du 13 décembre 2005 consid. 3 et 4; 4C.348/2003 du 24 août 2004 consid. 3.3) ou qu'il ait été donné pendant une période de protection contre les licenciements en temps inopportun. Le travailleur n'a ni à protester contre le licenciement injustifié, ni à continuer à offrir ses services (arrêt du Tribunal fédéral 4A_372/2016 du 2 février 2017 consid. 5.1.2).</w:t>
      </w:r>
    </w:p>
    <w:p>
      <w:r>
        <w:t>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p. 280 s. et les références). Le Tribunal fédéral a déjà eu à examiner la question du droit aux vacances dans le cas d'un employé qui, comme en l'espèce, avait été libéré de l'obligation de travailler pendant la durée du délai de congé, sans que l'employeur n'ait donné d'instruction au sujet des vacances. Elle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4b/cc p. 282 s.). Il faut en particulier que, durant cette période, le salarié congédié ait, en plus de ses vacances, suffisamment de temps à consacrer à la recherche d'un nouvel emploi (arrêt du Tribunal fédéral 4C_84/2005 du 16 juin 2005 consid. 7.2).</w:t>
      </w:r>
    </w:p>
    <w:p>
      <w:r>
        <w:t>Selon la jurisprudence, si le droit au paiement des vacances en espèces doit en tout cas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 337c al. 1 CO,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(ATF 117 II 270 consid. 3b).</w:t>
      </w:r>
    </w:p>
    <w:p>
      <w:r>
        <w:t>- 12/15 -</w:t>
      </w:r>
    </w:p>
    <w:p>
      <w:r>
        <w:t>C/4161/2018-5</w:t>
      </w:r>
    </w:p>
    <w:p>
      <w:r>
        <w:rPr>
          <w:b/>
        </w:rPr>
        <w:t>E. 3.1.2</w:t>
      </w:r>
    </w:p>
    <w:p>
      <w:r>
        <w:t>Ensuite, l'employé peut avoir droit à une indemnité supplémentaire, que le juge doit fixer en tenant compte de toutes les circonstances et qui ne peut pas dépasser le montant correspondant à six mois de salaire (art. 337c al. 3 CO). En principe, cette indemnité couvre le tort moral subi par le travailleur (ATF 135 III 405 consid. 3.1) Sauf cas exceptionnel, elle doit être versée pour tout licenciement immédiat dénué de justes motifs (ATF 133 III 657 consid. 3.2 et les arrêts cités;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du Tribunal fédéral 4A_161/2016 du 13 décembre 2016 consid. 3.1 et les arrêts cités).</w:t>
      </w:r>
    </w:p>
    <w:p>
      <w:r>
        <w:t>Le juge tiendra aussi compte des effets économiques du licenciement, ce qui présuppose de prendre en considération aussi bien la situation économique de l'employeur que celle de l'employé (arrêt du Tribunal fédéral 4A_401/2016 du 13 janvier 2017 consid. 6.2.1; cf. ATF 123 III 391 consid. 3b/aa).</w:t>
      </w:r>
    </w:p>
    <w:p>
      <w:r>
        <w:t>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déjà cité consid. 6.2.1).</w:t>
      </w:r>
    </w:p>
    <w:p>
      <w:r>
        <w:t>Statuant selon les règles du droit et de l'équité (art. 4 CC), le juge dispose d'un large pouvoir d'appréciation. (cf. arrêt du Tribunal fédéral 4A_105/2018 du 10 octobre 2018 consid. 3.2.2).</w:t>
      </w:r>
    </w:p>
    <w:p>
      <w:r>
        <w:rPr>
          <w:b/>
        </w:rPr>
        <w:t>E. 3.2.1</w:t>
      </w:r>
    </w:p>
    <w:p>
      <w:r>
        <w:t>En l'espèce et concernant le paiement des vacances contesté par l'appelante, celle-ci fait valoir que le délai de congé de trois mois prévu par le contrat faisait obstacle au paiement des vacances. Elle se réfère à la jurisprudence selon laquelle le travailleur est en mesure, lorsque le délai de congé est relativement long, soit deux à trois mois, de prendre des jours de repos en parallèle à la recherche d'un emploi. Cependant, bien que le délai prévu dans le contrat de l'intimé était de trois mois et donc relativement long au regard de la jurisprudence, l'intimé a commencé un nouvel emploi un peu plus d'un mois après son licenciement immédiat. Il s'ensuit que le délai de congé effectif, lors duquel il n'a pas eu à travailler, ni pour l'appelante, ni pour son nouvel employeur, a été limité à un mois.</w:t>
      </w:r>
    </w:p>
    <w:p>
      <w:r>
        <w:t>- 13/15 -</w:t>
      </w:r>
    </w:p>
    <w:p>
      <w:r>
        <w:t>C/4161/2018-5</w:t>
      </w:r>
    </w:p>
    <w:p>
      <w:r>
        <w:t>L'on se trouve donc précisément dans le cas prévu par la jurisprudence où l'employé retrouve un emploi rapidement. Dans ce cas, il ne peut être attendu de lui qu'il prenne des jours de repos pendant le délai de congé, ce qui est particulièrement le cas en l'occurrence, puisque l'intimé a cherché et trouvé un emploi en moins d'un mois.</w:t>
      </w:r>
    </w:p>
    <w:p>
      <w:r>
        <w:t>D'ailleurs, sa proactivité profite indirectement à l'appelante, puisqu'elle voit le salaire perçu auprès de l'autre employeur venir diminuer l'indemnité qu'elle doit à titre de salaire pendant le délai de congé, y compris s'agissant des vacances. Il paraîtrait donc injuste de priver l'intimé de cette indemnité.</w:t>
      </w:r>
    </w:p>
    <w:p>
      <w:r>
        <w:t>Le calcul de l'autorité de première instance s'agissant de l'indemnité à titre de salaire pendant le délai de congé, de treizième salaire et de vacances n'étant pas remis en cause pour le surplus, il sera confirmé. Ainsi, l'appelante doit verser à l'intimé 14'306 fr. 72, avec intérêts à 5% dès le 1er décembre 2017, à ce titre.</w:t>
      </w:r>
    </w:p>
    <w:p>
      <w:r>
        <w:rPr>
          <w:b/>
        </w:rPr>
        <w:t>E. 3.2.2</w:t>
      </w:r>
    </w:p>
    <w:p>
      <w:r>
        <w:t>S'agissant de l'indemnité pour licenciement immédiat injustifié, le Tribunal a relevé que les gestes reprochés à l'intimé étaient inadéquats, mais dénués de toute violence et de méchanceté. L'intimé avait regretté son geste et il était un bon employé depuis plus de trois ans. Il avait été soudainement coupé de toutes relations avec ses collègues et les résidents, desquels il n'avait pas pu prendre congé. Une indemnité de 6'000 fr. était donc justifiée. Pour tout critique, l'appelante, sur cinq lignes, se réfère à son argumentation, déjà discutée plus haut, au sujet de la gravité de la faute de l'employé intimé, et dont on a déjà vu qu'elle n'était pas fondée.</w:t>
      </w:r>
    </w:p>
    <w:p>
      <w:r>
        <w:t>Outre que cette manière de procéder par renvoi à une argumentation précédemment développée frise l'irrecevabilité (voir notamment arrêt du Tribunal fédéral 5A_573/2017 du 19 octobre 2017 consid. 3.3), la critique lapidaire de l'appelante est insuffisante à remettre en cause les fondements du raisonnement du Tribunal.</w:t>
      </w:r>
    </w:p>
    <w:p>
      <w:r>
        <w:t>Celui-ci ne prête d'ailleurs pas le flanc à la critique, dans la mesure où il a été manifestement tenu compte du caractère inadéquat du geste de l'employé pour limiter l'indemnité à l'équivalent d'un peu plus d'un mois de salaire. L'indemnité ne pouvait cependant être réduite à zéro pour cette seule raison et sans tenir compte des autres circonstances ayant entouré le départ de l'intimé, soit, notamment, une rupture soudaine des relations avec ses collègues et les résidents après avoir fourni pendant plus de trois ans des prestations de qualité.</w:t>
      </w:r>
    </w:p>
    <w:p>
      <w:r>
        <w:rPr>
          <w:b/>
        </w:rPr>
        <w:t>E. 3.3</w:t>
      </w:r>
    </w:p>
    <w:p>
      <w:r>
        <w:t>Le montant des indemnités à verser à l'intimé sera donc confirmé.</w:t>
      </w:r>
    </w:p>
    <w:p>
      <w:r>
        <w:rPr>
          <w:b/>
        </w:rPr>
        <w:t>E. 4</w:t>
      </w:r>
    </w:p>
    <w:p>
      <w:r>
        <w:t>Le jugement entrepris sera donc intégralement confirmé.</w:t>
      </w:r>
    </w:p>
    <w:p>
      <w:r>
        <w:t>- 14/15 -</w:t>
      </w:r>
    </w:p>
    <w:p>
      <w:r>
        <w:t>C/4161/2018-5 5.5.1 Vu la valeur litigieuse de l'appel inférieure à 50'001 fr., il n'est pas perçu de frais judiciaire pour l'appel (art. 71 RTFMC a contrario).</w:t>
      </w:r>
    </w:p>
    <w:p>
      <w:r>
        <w:t>5.2 S'agissant d'un litige de droit du travail, il n'est pas alloué de dépens (art. 22 al. 2 LaCC). * * * * *</w:t>
      </w:r>
    </w:p>
    <w:p>
      <w:r>
        <w:t>- 15/15 -</w:t>
      </w:r>
    </w:p>
    <w:p>
      <w:r>
        <w:t>C/4161/2018-5 PAR CES MOTIFS, La Chambre des prud'hommes, groupe 5 : A la forme : Déclare recevable l'appel formé le 29 avril 2019 par A______ contre les chiffres 2, 3, 4 et 6 du dispositif du jugement JTPH/97/2019 rendu le 14 mars 2019 par le Tribunal des Prud'hommes dans la cause C/4161/2018-5. Au fond : Confirme le jugement entrepris. Déboute les parties de toutes autres conclusions. Sur les frais : Dit qu'il n'est pas perçu de frais judiciaires, ni alloué de dépens d'appel. Siégeant : Monsieur Cédric-Laurent MICHEL, président;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