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CAPH/202/2010 vom 29. November 2010</w:t>
      </w:r>
    </w:p>
    <w:p>
      <w:r>
        <w:t>GE Cour de justice, 2010-11-29, FR</w:t>
      </w:r>
    </w:p>
    <w:p>
      <w:r>
        <w:rPr>
          <w:b/>
        </w:rPr>
        <w:t xml:space="preserve">Quelle: </w:t>
      </w:r>
      <w:r>
        <w:t>https://mcp.opencaselaw.ch/entscheid/ge_gerichte_CAPH_202_2010</w:t>
      </w:r>
    </w:p>
    <w:p>
      <w:r>
        <w:t>FR: GE_GERICHTE CAPH/202/2010 du 29 novembre 2010</w:t>
      </w:r>
    </w:p>
    <w:p>
      <w:r>
        <w:t>IT: GE_GERICHTE CAPH/202/2010 del 29 novembre 2010</w:t>
      </w:r>
    </w:p>
    <w:p>
      <w:pPr>
        <w:pStyle w:val="Heading2"/>
      </w:pPr>
      <w:r>
        <w:t>Regeste</w:t>
      </w:r>
    </w:p>
    <w:p>
      <w:r>
        <w:t>Résumé: Contrairement aux premiers Juge, la Cour estime que T., cadre commercial pour une entreprise d'éléctroménager, a subi un tort moral du fait de son agression par l'un de ses collègues pendant ses heures de travail. Ledit collègue avait en effet administré un "soufflet" à T. en raison de divergences, provoquant des lésions corporelles simple. N'ayant pas apporté la preuve libératoire de 101 CO, E. se voit condamnée au paiement d'un demi salaire à titre de compensation. Par ailleurs, la Cour indique que le congé donné à T., le jour même de son agression, est abusif puisqu'il relève d'un comportement totalement dépourvu d'égards envers l'appelant, constitutif d'une atteinte à sa personnalité. Le fait que E. avait déjà pris la décision de licencier T. avant son agression ne change pas le caractère abusif du licenciement.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L'appel est partiellement fondé et le jugement attaqué doit être modifié en ce sens que l'intimée est condamnée à verser à l'appelant, en sus de la somme de fr. 1'679.55 reconnue, d'ores et déjà allouée et payée, les sommes suivantes:</w:t>
      </w:r>
    </w:p>
    <w:p>
      <w:r>
        <w:t>- fr. 844.70 brut avec intérêts à 5% l'an dès le 5 décembre 2007, l'intimée étant invitée à procéder à toutes déductions légales et sociales;</w:t>
      </w:r>
    </w:p>
    <w:p>
      <w:r>
        <w:t>- fr. 5'500.- net avec intérêts à 5% dès le 5 décembre 2007;</w:t>
      </w:r>
    </w:p>
    <w:p>
      <w:r>
        <w:t>- fr. 8'971.40 net avec intérêts à 5% l'an dès le 1er août 2008.</w:t>
      </w:r>
    </w:p>
    <w:p>
      <w:r>
        <w:t>L'issue du litige, l'appelant obtenant environ 30% des prétentions qu'il faisait valoir en appel, conduit à laisser à sa charge l'émolument d'appel versé (fr. 440.-)</w:t>
      </w:r>
    </w:p>
    <w:p>
      <w:r>
        <w:t>Juridiction des prud’hommes</w:t>
      </w:r>
    </w:p>
    <w:p>
      <w:r>
        <w:t>Cause n° C/11654/2008 - 3 - 18 -</w:t>
      </w:r>
    </w:p>
    <w:p>
      <w:r>
        <w:t>* COUR D’APPEL *</w:t>
      </w:r>
    </w:p>
    <w:p>
      <w:r>
        <w:t>à concurrence de fr. 300.- et à condamner l'intimée à lui rembourser fr. 140.- à ce titre.</w:t>
      </w:r>
    </w:p>
    <w:p>
      <w:r>
        <w:t>Il n'est pas alloué de dépens, aucune des parties n'ayant plaidé de manière téméraire.</w:t>
      </w:r>
    </w:p>
    <w:p>
      <w:r>
        <w:t>Pour éviter toute ambiguïté, le jugement attaqué sera complètement annulé et reformulé.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