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CAPH/201/2022 vom 22. Dezember 2022</w:t>
      </w:r>
    </w:p>
    <w:p>
      <w:r>
        <w:t>GE Cour de justice, 2022-12-22, FR</w:t>
      </w:r>
    </w:p>
    <w:p>
      <w:r>
        <w:rPr>
          <w:b/>
        </w:rPr>
        <w:t xml:space="preserve">Quelle: </w:t>
      </w:r>
      <w:r>
        <w:t>https://mcp.opencaselaw.ch/entscheid/ge_gerichte_CAPH_201_2022</w:t>
      </w:r>
    </w:p>
    <w:p>
      <w:r>
        <w:t>FR: GE_GERICHTE CAPH/201/2022 du 22 décembre 2022</w:t>
      </w:r>
    </w:p>
    <w:p>
      <w:r>
        <w:t>IT: GE_GERICHTE CAPH/201/2022 del 22 dicembre 2022</w:t>
      </w:r>
    </w:p>
    <w:p>
      <w:pPr>
        <w:pStyle w:val="Heading2"/>
      </w:pPr>
      <w:r>
        <w:t>Erwägungen</w:t>
      </w:r>
    </w:p>
    <w:p>
      <w:r>
        <w:rPr>
          <w:b/>
        </w:rPr>
        <w:t>E. 1.1</w:t>
      </w:r>
    </w:p>
    <w:p>
      <w:r>
        <w:t>L'appel est recevable pour avoir été interjeté auprès de l'autorité compétente (art. 124 let. a LOJ) dans les délai et forme utiles (art. 130, 131, 142 al. 1, 145 al. 1 let. b et 311 CPC) par une partie qui y a intérêt (art. 59 al. 2 let. a CPC), à l'encontre d'une décision finale (art. 308 al. 1 let. a CPC) rendue par le Tribunal des prud'hommes dans une affaire patrimoniale dont la valeur litigieuse au dernier état des conclusions de première instance était supérieure à 10'000 fr. (art. 91 ss et 308 al. 2 CPC).</w:t>
      </w:r>
    </w:p>
    <w:p>
      <w:r>
        <w:rPr>
          <w:b/>
        </w:rPr>
        <w:t>E. 1.2</w:t>
      </w:r>
    </w:p>
    <w:p>
      <w:r>
        <w:t>La valeur litigieuse étant supérieure à 30'000 fr., la procédure ordinaire est applicable (art. 219 et 243 CPC) et celle-ci est soumise aux maximes des débats et de disposition (art. 55 cum 247 al. 2 let. b ch. 2 et 58 CPC).</w:t>
      </w:r>
    </w:p>
    <w:p>
      <w:r>
        <w:rPr>
          <w:b/>
        </w:rPr>
        <w:t>E. 1.3</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la Cour doit en principe se limiter à statuer sur les critiques formulées dans la motivation écrite contre la décision de première instance (ATF 142 III 413 consid. 2.2.4; arrêt du Tribunal fédéral 5A_111/2016 du 6 septembre 2016 consid. 5.3).</w:t>
      </w:r>
    </w:p>
    <w:p>
      <w:r>
        <w:rPr>
          <w:b/>
        </w:rPr>
        <w:t>E. 2</w:t>
      </w:r>
    </w:p>
    <w:p>
      <w:r>
        <w:t>L'appelant reproche au Tribunal de ne pas avoir auditionné C______ ni motivé sa décision à cet égard, ce dont il serait résulté une violation de son droit d'être entendu. Il sollicite que cette mesure d'instruction soit ordonnée par la Cour, subsidiairement par le Tribunal après renvoi de la cause. 2.1.1 Conformément à l'art. 316 al. 3 CPC, l'instance d'appel peut librement décider d'administrer des preuves. Elle peut également renoncer à ordonner une mesure d'instruction lorsque le requérant n'a pas suffisamment motivé sa requête</w:t>
      </w:r>
    </w:p>
    <w:p>
      <w:r>
        <w:t>- 16/28 -</w:t>
      </w:r>
    </w:p>
    <w:p>
      <w:r>
        <w:t>C/10543/2019-4 ou, sur la base d'une appréciation anticipée des preuves, lorsque celle-ci est manifestement inadéquate, porte sur un fait non pertinent ou n'est pas de nature à ébranler la conviction qu'elle a acquise sur la base des éléments déjà recueillis (ATF 138 III 374 consid. 4.3; 130 III 734 consid. 2.2.3; arrêts du Tribunal fédéral 5A_86/2016 du 5 septembre 2016 consid. 5.2.2; 5A_460/2012 du 14 septembre 2012 consid. 2.1). L'autorité jouit d'un large pouvoir d'appréciation (ATF 142 III 413 consid. 2.2.1; arrêt du Tribunal fédéral 5A_37/2017 du 10 juillet 2017 consid. 3.1.2). 2.1.2 La preuve a pour objet les faits pertinents et contestés (art. 150 al. 1 CPC). Toute partie a droit à ce que le tribunal administre les moyens de preuve adéquats proposés régulièrement et en temps utile (art. 152 al. 1 CPC). Le droit à la preuve est une composante du droit d'être entendu garanti par l'art. 29 al. 2 Cst. Il implique que toute partie a le droit, pour établir un fait pertinent qui n'est pas déjà prouvé, de faire administrer les moyens de preuve adéquats (ATF 140 I 99 consid. 3.4; arrêt du Tribunal fédéral 5A_113/2018 du 12 septembre 2018 consid. 4.2.1.1 non publié aux ATF 144 III 541). 2.1.3 La jurisprudence a déduit de l'art. 29 al. 2 Cst. le devoir pour l'autorité de motiver sa décision, afin que le destinataire puisse la comprendre, la contester utilement s'il y a lieu et que l'autorité de recours puisse exercer son contrôle (ATF 142 III 433 consid. 4.3.2; 141 IV 249 consid. 1.3.1; 135 III 670 consid. 3.3.1; 133 III 235 consid. 5.2; arrêt du Tribunal fédéral 5A_19/2020 du 18 mai 2020 consid. 6). 2.1.4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 L'appelant ne peut alors pas se contenter de se plaindre de cette violation, mais doit exercer son droit d'être entendu (arrêt du Tribunal fédéral 5A_925/2015 du 4 mars 2016 consid. 2.3.3.2 non publié aux ATF 142 III 195). Même en présence d'un vice grave, une réparation de la violation du droit d'être entendu peut se justifier lorsque le renvoi constituerait une vaine formalité et aboutirait à un allongement inutile de la procédure (ATF 142 II 218 consid. 2.8.1).</w:t>
      </w:r>
    </w:p>
    <w:p>
      <w:r>
        <w:rPr>
          <w:b/>
        </w:rPr>
        <w:t>E. 2.2</w:t>
      </w:r>
    </w:p>
    <w:p>
      <w:r>
        <w:t>En l'espèce, le Tribunal n'a pas donné suite à la requête d'audition de C______, sans motiver sa décision. L'appelant soutient que cette audition, en tant que la précitée est l'auteure du rapport faisant suite au contrôle de l'activité de l'intimé durant le printemps 2018, serait de nature à démontrer la gravité des manquements de celui-ci attestés dans cet audit et leur réitération malgré les consignes données.</w:t>
      </w:r>
    </w:p>
    <w:p>
      <w:r>
        <w:t>- 17/28 -</w:t>
      </w:r>
    </w:p>
    <w:p>
      <w:r>
        <w:t>C/10543/2019-4 La décision du Tribunal n'est pas critiquable. Comme le relève l'intimé, l'appelant soutient lui-même que le témoignage devrait porter sur les faits attestés dans le rapport dont le témoin est l'auteure. L'on ne voit ainsi pas ce que ce témoignage pourrait apporter de plus que ce qui ressort déjà du rapport et l'appelant ne l'expose d'ailleurs pas. Ainsi, sur la base d'une appréciation anticipée des preuves, la Cour renoncera, comme le Tribunal, à ordonner cette mesure d'instruction. Que le Tribunal n'ait pas motivé sa décision ne justifie pas une annulation du jugement entrepris dans la mesure où ce vice est réparé devant la Cour.</w:t>
      </w:r>
    </w:p>
    <w:p>
      <w:r>
        <w:rPr>
          <w:b/>
        </w:rPr>
        <w:t>E. 3</w:t>
      </w:r>
    </w:p>
    <w:p>
      <w:r>
        <w:t>L'appelant fait grief au Tribunal d'avoir rejeté ses prétentions en paiement de 70'232 fr. (commissions perçues indûment), 19'220 fr. (solde du coût du travail administratif causé) et 14'821 fr. (dette à l'égard de E______ en lien avec "l'assuré M______") à titre de dommages-intérêts.</w:t>
      </w:r>
    </w:p>
    <w:p>
      <w:r>
        <w:t>3.1.1 Le travailleur exécute avec soin le travail qui lui est confié et sauvegarde fidèlement les intérêts légitimes de l'employeur (art. 321a al. 1 CO). Le travailleur répond du dommage qu'il cause à l'employeur intentionnellement ou par négligence (art. 321e al. 1 CO). Cette disposition reprend le principe général de la responsabilité contractuelle, laquelle est subordonnée aux quatre conditions usuelles, soit l'existence d'un dommage, la violation par l'employé de l'une ou l'autre de ses obligations contractuelles, le rapport de causalité naturelle et adéquate entre cette violation et le dommage, et la faute, qui est présumée. Il appartient à l'employeur de prouver notamment la violation contractuelle et le dommage (WYLER/HEINZER, Droit du travail, 4ème éd., 2019, pp. 161-162). Le dommage se définit en général comme une diminution involontaire du patrimoine net du lésé; celle-ci peut consister en une perte éprouvée ou un gain manqué. La perte éprouvée consiste dans la diminution de la fortune nette. Elle peut reposer sur une diminution de l'actif ou sur une augmentation du passif. Dans les conceptions admises, on comprend ainsi le dommage comme la différence entre le montant du patrimoine du lésé après l'événement dommageable et le montant que ce patrimoine aurait atteint si l'événement dommageable ne s'était pas produit (théorie de la différence) (WERRO/PERRITAZ CR CO I, 3ème éd. 2021, ad art. 41 n. 7 et 12). Aux termes de l'art. 42 al. 2 CO, lorsque le montant exact du dommage ne peut être établi, le juge le détermine équitablement en considération du cours ordinaire des choses et des mesures prises par la partie lésée. 3.1.2 A teneur de l'art. 62 CO, celui qui, sans cause légitime, s'est enrichi aux dépens d'autrui, est tenu à restitution (al. 1). La restitution est due, en particulier,</w:t>
      </w:r>
    </w:p>
    <w:p>
      <w:r>
        <w:t>- 18/28 -</w:t>
      </w:r>
    </w:p>
    <w:p>
      <w:r>
        <w:t>C/10543/2019-4 de ce qui a été reçu sans cause valable, en vertu d'une cause qui ne s'est pas réalisée, ou d'une cause qui a cessé d'exister (al. 2). Les conditions d'application de cette disposition sont au nombre de quatre, à savoir un enrichissement du débiteur, un appauvrissement du créancier, la connexité entre l'appauvrissement de l'un et l'enrichissement de l'autre, et enfin l'absence de cause légitime à l'enrichissement du débiteur. Ces conditions ne sont pas incontestées, particulièrement celle de l'appauvrissement et, par voie de conséquence, celle du lien de connexité (CHAPPUIS, CR, CO I, 2021, n. 3 ad art. 62 CO). La première école considère que l'appauvrissement est une condition nécessaire. Il est l'équivalent du dommage de 41 CO ou de 97 CO dont il reprend les caractéristiques. Dans cette conception, la prétention en enrichissement illégitime est la sanction d'un déplacement de patrimoine: une valeur qui était dans le patrimoine d'une personne se retrouve désormais dans celui d'une autre ou une valeur, au lieu d'aller dans le patrimoine de la créancière, est allée directement et sans raison dans le patrimoine d'une autre personne. La première est appauvrie alors que la seconde est enrichie. La deuxième école, plus récente, considère que l'appauvrissement n'est pas une condition de l'action basée sur 62 CO. Cela est particulièrement vrai pour les rapports juridiques complexes mettant aux prises plus de deux personnes. Dans de telles circonstances, la condition de l'appauvrissement n'est, pour les représentants de cette école, pas appropriée puisqu'il n'est pas toujours possible de déterminer en la personne de qui l'appauvrissement correspondant à l'enrichissement se serait produit. Le déplacement patrimonial est difficile à établir, tout particulièrement parce qu'il peut s'effectuer de manière indirecte entre les différents protagonistes. Si la doctrine semble s'être rangée majoritairement en faveur de cette conception, la jurisprudence donne encore des indications partiellement contradictoires (CHAPPUIS, op. cit., n. 7 et 8 ad art. 62 CO). Le Tribunal fédéral a récemment rappelé le principe de la subsidiarité: aussi longtemps que la créancière dispose d'une prétention contractuelle, elle n'est pas appauvrie, alors que le débiteur, du fait de son engagement contractuel, n'est quant à lui pas enrichi. L'existence d'une prétention contractuelle empêche donc la naissance d'une prétention en enrichissement illégitime (CHAPPUIS, op. cit., n. 35 ad art. 62 CO). Dans l'arrêt publié aux ATF 126 III 119 consid. 3b, JdT 2000 I 630, le Tribunal fédéral a également considéré que le fait que le paiement intervienne dans le cadre d'un contrat a pour effet que ce n'est pas de manière illégitime que son bénéficiaire est enrichi (CHAPUIS, op. cit., n. 35 ad art. 62 CO et note de bas de page 78). 3.1.3 D'après l'art. 151 al. 1 CO, le contrat est conditionnel, lorsque l'existence de l'obligation qui en forme l'objet est subordonnée à l'arrivée d'un événement</w:t>
      </w:r>
    </w:p>
    <w:p>
      <w:r>
        <w:t>- 19/28 -</w:t>
      </w:r>
    </w:p>
    <w:p>
      <w:r>
        <w:t>C/10543/2019-4 incertain. En vertu de l'article 156 CO, la condition est réputée accomplie quand l'une des parties en a empêché l'avènement au mépris des règles de la bonne foi. 3.1.4 A teneur de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Ainsi, le juge doit rechercher, dans un premier temps, la réelle et commune intention des parties (interprétation subjective), le cas échéant empiriquement, sur la base d'indices. S'il ne parvient pas à déterminer cette volonté, ou s'il constate qu'une partie n'a pas compris la volonté manifestée par l'autre, il doit recourir à l'interprétation normative (ou objective); le juge doit rechercher quel sens les parties pouvaient ou devaient donner, de bonne foi, à leurs manifestations de volonté réciproques (ATF 142 III 671 consid. 3.3; 140 III 134 consid. 3.2; 136 III 186 consid. 3.2.1; 135 III 295 consid. 5.2; arrêt du Tribunal fédéral 4A_290/2017 du 12 mars 2018 consid. 5.1). Le juge tiendra compte des termes utilisés ainsi que du contexte et de l'ensemble des circonstances dans lesquelles les déclarations ont été émises (ATF 125 III 305 consid. 2b). 3.2.1 En l'espèce, pour ce qui est de la prétention liée au commissions prétendument versées indûment, le Tribunal a retenu que les ristournes intervenaient dans les cas où le contrat d'assurance subissait des changements tels qu'une diminution de la durée ou de la prime entraînant une obligation de remboursement de la commission. En revanche, une commission était perçue indûment si les contrats ayant donné à lieu à celle-ci comportaient une erreur essentielle et n'auraient pas dû exister. Or, l'appelant n'avait pas allégué qu'il aurait dû rembourser des commissions à E______ en dehors des cas de ristournes. Le dommage n'était ainsi pas démontré. Par ailleurs, le 24 avril 2018, il avait été convenu que le remboursement des commissions versées concernant des "contrats non conformes" pourrait être réclamé si ceux-ci n'étaient pas corrigés d'ici au 31 décembre 2018. Or, l'appelant avait résilié le contrat de travail avec effet au 30 septembre 2018, de sorte qu'il avait empêché l'intimé de procéder à ces corrections. L'appelant soutenait avoir été contraint à ce licenciement du fait que l'intimé n'exécutait pas ses obligations prescrites en avril 2018, ce qui ne ressortait toutefois pas du courrier de résiliation. Selon le témoin J______, le licenciement était intervenu en relation avec une "histoire de téléphone" et aucun élément du dossier ne permettait de retenir que ce motif était fondé. L'appelant soutient à tort que le Tribunal se méprend sur la notion du dommage et sa prétention n'est pas fondée sous l'angle de l'enrichissement illégitime non plus.</w:t>
      </w:r>
    </w:p>
    <w:p>
      <w:r>
        <w:t>- 20/28 -</w:t>
      </w:r>
    </w:p>
    <w:p>
      <w:r>
        <w:t>C/10543/2019-4 Les contrats d'assurance concernés par les manquements allégués ont certes donné lieu à un appauvrissement de l'appelant du fait des commissions versées à l'intimé et un enrichissement de ce dernier. Cela étant, ces contrats ont eu pour conséquence également un enrichissement - probablement plus élevé - de l'appelant du fait des prestations qu'il a dû percevoir à la suite de leur conclusion de la part de E______ et/ou des assurés. Or, l'appelant ne démontre pas, ni n'allègue d'ailleurs, avoir dû restituer cet enrichissement ou une partie de celui-ci à E______ et/ou auxdits assurés. Ainsi, l'appelant ne s'est pas appauvri, mais enrichi du fait des comportements qu'il reproche à l'intimé. Il ne démontre donc, sur le principe, ni l'existence d'un dommage au sens de l'art. 321e al. 1 CO ni celle d'un appauvrissement au sens de l'art. 62 CO. Il a d'ailleurs déclaré devant les premiers juges qu'en cas de commissions versées indûment, le risque pour l'agent général consistait dans le fait d'être tenu pour responsable en cas de sinistre si l'assuré démontrait que le contrat d'assurance ne correspondait pas à ce qui avait été convenu avec le conseiller. Or, l'appelant ne démontre pas ni n'allègue la réalisation de ce risque en l'occurrence. Pour ce qui est de l'enrichissement illégitime, il est vrai que la condition de l'appauvrissement du débiteur est contestée en doctrine. Il n'y a toutefois pas lieu d'approfondir cette question. La condition de l'absence de cause légitime n'est en tout état pas réalisée. Les commissions litigieuses ont en effet été versées dans le cadre d'un contrat de travail liant les parties (principe de subsidiarité). En tout état, le caractère indu des commissions n'est pas démontré. Il n'est pas même allégué quels vices les contrats d'assurance concernés auraient comportés qui, s'ils avaient été connus de l'appelant, auraient eu pour conséquence le défaut de versement d'une commission ou le versement d'une commission moins élevée, tout en ne donnant pas lieu à une ristourne. Quoi qu'il en soit, l'appelant ne démontre pas le montant des commissions prétendument versées indûment. Il produit des documents comportant le détail des contrats d'assurance dans le cadre desquels des erreurs auraient été commises, le détail des erreurs en question et le montant des commissions versées en lien avec chacun de ces contrats (pièces 8 et 8bis demandeur principal). Ces pièces sont toutefois établies par ses soins et contestées, de sorte que leur force probante équivaut à celle d'une simple allégation de partie. L'appelant reproche par ailleurs à tort au Tribunal d'avoir interprété de façon arbitraire l'avenant au contrat de travail du 24 avril 2019. Selon lui, les premiers juges auraient retenu implicitement que les trois conditions auxquelles la restitution des commissions versées en lien avec des "contrats non conformes" pouvait être exigée étaient cumulatives, alors qu'elles étaient alternatives (1. "les mesures mentionnées dans le présent document ne sont pas respectées"; 2. "les contrats déjà souscrits ne sont pas repris et corrigés d'ici au 31.12.2018"; 3. "les obligations contractuelles, les normes de souscriptions et le suivi administratif ne</w:t>
      </w:r>
    </w:p>
    <w:p>
      <w:r>
        <w:t>- 21/28 -</w:t>
      </w:r>
    </w:p>
    <w:p>
      <w:r>
        <w:t>C/10543/2019-4 sont à nouveau pas respectés"). L'intimé ne peut avoir voulu, ni n'aurait dû comprendre, s'engager à restituer les commissions reçues en lien avec des "contrats non conformes" dans l'hypothèse où il aurait corrigé l'ensemble de ceux- ci dans le délai imparti, mais continuerait à l'avenir à avoir du retard et/ou faire des erreurs dans son suivi administratif. L'appelant reproche enfin en vain au Tribunal d'avoir retenu qu'il avait empêché la réalisation de la condition 2 ci-dessus en procédant au licenciement de l'intimé, alors qu'il y avait été contraint en raison des manquements de celui-ci. Il ne fournit aucun élément concret à l'appui de cette dernière thèse, si ce n'est que C______ aurait pu en attester. Or, tel n'est pas le cas, l'appelant n'ayant pas sollicité ce témoignage en lien avec le motif du licenciement. Il ne développe aucune critique non plus quant à la motivation des premiers juges sur ce point, fondée sur les déclarations du témoin J______. Partant, c'est à juste titre que le Tribunal a débouté l'appelant de sa prétention relative aux commissions perçues indûment. 3.2.2 En ce qui concerne la prétention liée au travail administratif, le Tribunal a retenu que, reposant sur un tableau établi par l'appelant, le dommage n'était pas démontré. Par ailleurs, selon les premiers juges, le travail administratif invoqué n'était pas imputable uniquement à des manquements de l'intimé. Celui-ci avait certes accumulé du retard dans ses tâches et des erreurs avaient été constatées dans ses dossiers, ce qui avait nécessité un travail de mise à jour. Cela étant, il résultait des déclarations de six témoins que cette situation s'expliquait par le nombre de dossiers élevé que celui-ci gérait. De plus, selon les déclarations de l'intimé qui emportaient la conviction, celui-ci avait œuvré à la mise à jour de ses dossiers, conformément aux discussions du 12 avril 2018. En outre, certaines erreurs avaient découlé de la mise en place et des modifications du "projet pilote" ainsi que de pratiques de E______ ou de D______. L'intimé avait, en effet, bénéficié du projet précité lui permettant d'assurer des véhicules à un tarif favorable et E______ avait décidé de mettre un terme à ce projet. Selon les témoins L______ et K______, le travail administratif accompli dans les dossiers de l'intimé avait été lié notamment à la suppression de ce tarif et à l'augmentation des primes ainsi qu'aux réclamations des clients en découlant. Enfin, selon le Tribunal, le 24 avril 2018, les parties avaient convenu que le remboursement des frais occasionnés à l'appelant serait soumis aux mêmes conditions que le remboursement des commissions. Or, comme exposé en lien avec ce dernier point, l'appelant avait empêché l'intimé d'exécuter ses obligations dans le délai imparti et donc de réduire le travail administratif que les collègues de celui-ci et lui-même avaient ensuite dû effectuer à sa place.</w:t>
      </w:r>
    </w:p>
    <w:p>
      <w:r>
        <w:t>- 22/28 -</w:t>
      </w:r>
    </w:p>
    <w:p>
      <w:r>
        <w:t>C/10543/2019-4 L'appelant soutient que le nombre de dossiers traités par l'intimé - qui n'était pas imposé - ne justifiait pas les manquements de celui-ci. Les corrections que l'intimé avait apportées dans certains dossiers ne changeaient par ailleurs rien au fait que celui-ci avait continué à ne pas se conformer à ses obligations dans les nouveaux dossiers et qu'il n'avait pas procédé aux corrections importantes dans un délai satisfaisant. Point n'est besoin d'entrer en matière sur ces griefs. Les conditions du dommage et du lien de causalité naturelle ne sont en tout état pas réalisées, comme il sera exposé ci-dessous. L'appelant soutient en vain que le document établi par ses soins à l'appui du montant allégué de son dommage (pièce 10 demandeur principal) serait corroboré par les annexes audit document (pièce 10bis demandeur principal), ses propres déclarations devant le Tribunal et celles des témoins J______, H______, K______ et L______. Ces éléments ne permettent pas d'établir le temps consacré au contrôle et à la révision de l'ensemble des dossiers de l'intimé et encore moins de ceux qui ne se trouvaient pas en suspens dans une mesure acceptable. L'appelant aurait pu et dû faire confirmer aux trois collaboratrices précitées le travail qu'elles auraient accompli selon ses allégations détaillées dans la pièce 10 précitée, ce qu'il n'a pas fait. L'art. 42 al. 2 CO n'entre par ailleurs pas en considération, faute de se trouver dans une situation où le montant du dommage ne pouvait être établi. L'appelant ne fait d'ailleurs pas grief au Tribunal de ne pas avoir procédé à une estimation du dommage (art. 42 al. 2 CO). L'appelant reproche, par ailleurs, sans succès aux premiers juges d'avoir retenu le défaut de lien de causalité naturelle entre les manquements reprochés et le travail accompli pour régulariser les dossiers concernés par le "projet pilote", à savoir que certaines modifications découlaient de décisions non imputables à l'intimé. L'appelant ne motive pas son grief. Il se contente de soutenir, sans l'expliciter, que la suppression des rabais n'avait pas été causée par le terme mis au projet par E______, mais par l'application initiale d'une catégorie d'usage erronée par l'intimé et le non-respect des autres règles prévues dans le cadre de ce projet. Quant aux griefs soulevés par l'appelant en lien avec les obligations de l'intimé aux termes de l'avenant du 24 avril 2018 au contrat de travail, ils sont identiques à ceux qu'il a formulés dans le cadre de l'examen de sa prétention relative aux commissions et infondés pour les mêmes motifs (cf. supra, consid. précédent). Partant, c'est à juste titre que le Tribunal a débouté l'appelant de sa prétention relative au travail administratif déployé. 3.2.3 S'agissant de la prétention relative au montant dont serait débiteur l'appelant à l'égard de E______ en lien avec "l'assuré M______", le Tribunal a relevé que le</w:t>
      </w:r>
    </w:p>
    <w:p>
      <w:r>
        <w:t>- 23/28 -</w:t>
      </w:r>
    </w:p>
    <w:p>
      <w:r>
        <w:t>C/10543/2019-4 premier n'avait ni allégué, ni démontré avoir payé 14'821 fr. à la seconde. Le dommage n'était donc pas démontré. L'appelant admet ne pas avoir payé le montant qui lui a été réclamé en août 2019, ce qui ne change rien, selon lui, au fait que cette dette grève son patrimoine. Il ne fournit toutefois aucune explication sur les raisons de ce défaut de paiement, ni ne produit aucune pièce qui démontrerait que cette dette alléguée est à ce jour exigible et que son paiement est ou sera exigé par le créancier. Ainsi, faute de démonstration d'une perte éprouvée, c'est à juste titre que le Tribunal a débouté l'appelant de sa prétention.</w:t>
      </w:r>
    </w:p>
    <w:p>
      <w:r>
        <w:rPr>
          <w:b/>
        </w:rPr>
        <w:t>E. 4</w:t>
      </w:r>
    </w:p>
    <w:p>
      <w:r>
        <w:t>L'appelant fait encore grief au Tribunal de l'avoir débouté de sa prétention tendant au paiement de 9'000 fr. au titre de remboursement de frais de formation.</w:t>
      </w:r>
    </w:p>
    <w:p>
      <w:r>
        <w:t>4.1.1 L'employeur rembourse au travailleur tous les frais imposés par l'exécution du travail (art. 327a al. 1 CO). Un accord écrit peut prévoir que les frais engagés par le travailleur lui seront remboursés sous forme d'une indemnité fixe, à la condition qu'elle couvre tous les frais nécessaires (art. 327a al. 2 CO).</w:t>
      </w:r>
    </w:p>
    <w:p>
      <w:r>
        <w:t>Aux termes de l'art. 327a al. 3 CO, qui n'est pas de droit dispositif, les accords en vertu desquels le travailleur supporte lui-même tout ou partie de ses frais nécessaires sont nuls (BRUNNER/BÜHLER/WAEBER/BRUCHEZ, Commentaire du contrat de travail, 3ème éd., 2004, n. 7 ad art. 327a CO; TERCIER, Les contrats spéciaux, 3ème éd., 2003, n. 3200 p. 463). Cette disposition est violée par l'accord selon lequel le travailleur s'engage à rembourser à l'employeur les dépenses nécessaires à l'exécution du travail (ATF 124 III 305 consid. 3 et 5). 4.1.2 Les frais inhérents à des cours de formation intervenant sur directive expresse de l'employeur constituent en principe des frais imposés par l'exécution du travail au sens de l'art. 327a al. 1 CO, qui doivent impérativement être remboursés par l'employeur. L'employeur ne doit en revanche payer tout ou partie des frais d'autres formations que s'il s'y est engagé (WYLER/HEINZER, Droit du travail, 4ème éd. 2019, p. 386; STREIFF/VON KAENEL/RUDOLPH, Arbeitsvertrag, Praxiskommentar, 7ème éd., 2012, n. 7 ad art. 327a CO). Il convient de distinguer entre la formation qui sert uniquement au travailleur à se familiariser avec son travail au sein de l'entreprise et la formation complémentaire procurant au travailleur un avantage personnel perdurant au-delà des rapports de travail et pouvant être exploité sur le marché du travail. Les frais liés au premier type de formation sont des "frais imposés par l'exécution du travail" au sens de l'art. 327a al. 1 CO, ce qui n'est pas le cas des frais liés au second type de formation (PORTMANN/RUDOLPH, Basler Kommentar - OR I, 7ème éd. 2020, n. 3 ad art. 327a CO). Dans ce dernier cas, l'employeur ne doit les supporter que si un accord le prévoit (arrêt du Tribunal fédéral 4P_264/2001 du 10 janvier 2002</w:t>
      </w:r>
    </w:p>
    <w:p>
      <w:r>
        <w:t>- 24/28 -</w:t>
      </w:r>
    </w:p>
    <w:p>
      <w:r>
        <w:t>C/10543/2019-4 consid. 2/cc; WYLER/HEINZER, op. cit., p. 387; STREIFF/VON KAENEL/RUDOLPH, op. cit., n. 7 ad art. 327a CO). Le cas échéant, l'employeur peut subordonner la prise en charge des frais à une obligation de remboursement du travailleur en cas de fin des rapports de travail avant l'échéance d'une certaine durée à compter du terme de la formation, qui ne devrait pas dépasser trois ans (PORTMANN/RUDOLPH, op. cit., n. 4 ad art. 327a CO; WYLER/HEINZER, op. cit., p. 388). Selon la jurisprudence de la Chambre de céans, l'art. 340c al. 2 CO - lequel prévoit qu'une prohibition de faire concurrence cesse si l'employeur résilie le contrat sans que le travailleur lui ait donné un motif justifié - doit être appliqué par analogie aux clauses de remboursement de frais de formation (arrêt CAPH/86/2016 du 11 mai 2016 consid. 4.1.2). Il doit en aller de même lorsque le travailleur résilie le contrat de travail pour un motif dont l'employeur doit répondre (PORTMANN/RUDOLPH, op. cit., n. 4 ad art. 327a CO). Devant le Tribunal fédéral, la question de l'application par analogie de l'art. 340c al. 2 CO reste indécise (arrêt du Tribunal fédéral 4A_90/2009 du 25 septembre 2009 consid. 3) (arrêt CAPH/5/2021 du 13 janvier 2021 consid. 6.1).</w:t>
      </w:r>
    </w:p>
    <w:p>
      <w:r>
        <w:rPr>
          <w:b/>
        </w:rPr>
        <w:t>E. 4.2</w:t>
      </w:r>
    </w:p>
    <w:p>
      <w:r>
        <w:t>En l'espèce, le Tribunal a retenu que la clause de remboursement prévue dans la convention de formation signée par les parties n'était pas valable. Le motif en était que la formation en question était imposée par l'employeur. En effet, selon l'appelant lui-même, tout nouvel employé devait suivre un programme de formation. L'intimé avait, quant à lui, exposé que cette formation lui avait été imposée et qu'il avait suivi les cours auxquels il avait été convoqué. Le témoin F______ avait confirmé que les conseillers ne s'inscrivaient pas eux-mêmes aux cours et qu'il s'était senti obligé de les suivre. Par ailleurs, selon les témoins G______ et F______, l'intimé était un conseiller expérimenté. L'appelant n'avait pas démontré que la formation imposée était de nature à procurer à celui-ci un avantage personnel. En tout état, même s'il était admis que la clause de remboursement était valable, il conviendrait de retenir que l'obligation qu'elle stipulait s'était éteinte en raison du licenciement ordinaire intervenu. L'appelant ne conteste pas le fait que la formation en question était imposée par ses soins, ce qui suffit à sceller le sort de la cause. La clause de remboursement litigieuse était nulle en application de l'art. 327a al. 3 CO et les frais en question devaient impérativement être supportés par l'appelant conformément à l'art. 327a al. 1 CO. Ainsi, l'appelant soutient en vain que la formation était destinée à améliorer la capacité professionnelle de l'intimé. En tout état, une telle conclusion ne saurait être déduite des seuls éléments qu'il avance, tenant à la durée (48 jours) et au montant (16'800 fr.) de cette formation. D'autant moins qu'il ne conteste pas le fait que l'intimé était un conseiller expérimenté. Peu importe en conséquence de savoir si les premiers juges ont mal interprété la convention de formation en retenant que l'obligation de remboursement s'éteignait en cas de licenciement ordinaire, plutôt qu'en cas de licenciement ordinaire non justifié uniquement.</w:t>
      </w:r>
    </w:p>
    <w:p>
      <w:r>
        <w:t>- 25/28 -</w:t>
      </w:r>
    </w:p>
    <w:p>
      <w:r>
        <w:t>C/10543/2019-4 Au vu de ce qui précède, c'est à bon droit que le Tribunal a débouté l'appelant de sa prétention liée aux frais de formation.</w:t>
      </w:r>
    </w:p>
    <w:p>
      <w:r>
        <w:rPr>
          <w:b/>
        </w:rPr>
        <w:t>E. 5</w:t>
      </w:r>
    </w:p>
    <w:p>
      <w:r>
        <w:t>L'appelant reproche également aux premiers juges de l'avoir débouté de sa prétention tendant au paiement de 43'462 fr. à titre de ristournes sur commissions (79'474 fr. de solde négatif du "compte commissions" compensés à hauteur du solde positif du compte caution de 36'012 fr.).</w:t>
      </w:r>
    </w:p>
    <w:p>
      <w:r>
        <w:rPr>
          <w:b/>
        </w:rPr>
        <w:t>E. 5.1</w:t>
      </w:r>
    </w:p>
    <w:p>
      <w:r>
        <w:t>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(ATF 128 III 174 consid. 2b). A teneur de l'art. 322b al. 3 CO, le droit à la provision s'éteint lorsque l'employeur n'exécute pas l'affaire sans faute de sa part ou si le tiers ne remplit pas ses obligations; si l'inexécution n'est que partielle, la provision est réduite proportionnellement. Autrement dit, le droit à la provision est grevé d'une condition résolutoire, dont la preuve de l'avènement incombe à l'employeur (art. 8 CC). On ne peut pas parler de non-exécution de l'affaire sans faute de l'employeur lorsque le retour de la marchandise découle de sa propre négligence ou d'autres motifs qui lui sont imputables. En particulier, lorsque le tiers ne s'exécute pas, l'employeur doit entreprendre toutes les mesures raisonnables pour l'y contraindre (sommation, poursuite, etc.). La même règle s'applique à la résiliation mutuelle et volontaire du contrat. La provision reste alors due. De même, la résiliation par l'employeur en raison d'une pure opportunité d'affaires ne constitue pas un motif suffisant pour faire tomber la provision. Il en va autrement lorsque les parties résilient le contrat pour prévenir une invalidation vraisemblable, pour vice de la volonté, avec de bons motifs à l'appui. Une telle hypothèse justifie l'absence de droit à la provision. De même, lorsque l'employeur, en concluant un contrat d'assurance ou en s'y tenant, s'expose au risque d'être entraîné dans une opération illégale et de voir son nom mêlé à une escroquerie. Dans ce cas également, la perte du droit à la provision se justifie (WITZIG, CR CO I, 2021, n. 8 à 10 ad art. 322b CO).</w:t>
      </w:r>
    </w:p>
    <w:p>
      <w:r>
        <w:rPr>
          <w:b/>
        </w:rPr>
        <w:t>E. 5.2</w:t>
      </w:r>
    </w:p>
    <w:p>
      <w:r>
        <w:t>En l'espèce, le Tribunal a relevé qu'il convenait d'examiner si les ristournes avaient pour origine des manquements imputables à l'intimé et si la prétention de l'appelant était fondée aux termes de l'accord du 24 avril 2018. Il a retenu que, selon le témoin L______, de nombreux contrats avaient été modifiés ou résiliés suite à l'abandon du "projet pilote" par D______ voire E______, ce qui avait entraîné la suppression des rabais octroyés, une augmentation de la prime et la mise à jour des contrats d'assurance. Selon le</w:t>
      </w:r>
    </w:p>
    <w:p>
      <w:r>
        <w:t>- 26/28 -</w:t>
      </w:r>
    </w:p>
    <w:p>
      <w:r>
        <w:t>C/10543/2019-4 témoin K______, la suppression des rabais accordés avait donné lieu à des réclamations de plusieurs clients. Un grand nombre de contrats avaient été résiliés pour ce motif. Les résiliations des contrats résultaient ainsi, à tout le moins en partie, de décisions de D______ voire de E______. Les premiers juges ont, par ailleurs, constaté que dans l'accord du 24 avril 2018, les parties avaient convenu que le remboursement des commissions versées concernant des "contrats non conformes" pourrait être réclamé à certaines conditions, en particulier si ces contrats n'étaient pas corrigés au 31 décembre 2018. Or, comme retenu en lien avec les commissions versées indûment et le travail administratif déployé, en résiliant le contrat de travail avec effet au 30 septembre 2018, l'appelant avait empêché l'intimé d'appliquer les mesures prescrites dans l'accord du 24 avril 2018 et de corriger les contrats d'assurance. Ainsi, la condition à laquelle était subordonnée le droit de réclamer la rétrocession des commissions versées n'était pas réalisée. L'appelant soutient en vain que le Tribunal aurait retenu à tort la pertinence de la question de savoir si une faute pouvait être reprochée à l'intimé. Les premiers juges ont examiné quelle avait été la cause de la survenance des ristournes, pour conclure qu'il s'agissait, à tout le moins en partie, de décisions de D______ voire de E______. Cette conclusion est pertinente. Elle signifie que l'appelant n'a pas démontré l'avènement de la conclusion résolutoire prévue par l'art. 322b al. 3 CO, en particulier que les contrats d'assurance concernés n'auraient pas été résiliés par ses soins en raison d'une pure opportunité d'affaires. Pour ce seul motif, la prétention n'est pas fondée. Au vu de ce qui précède, point n'est besoin d'entrer en matière sur le grief de l'appelant selon lequel l'avenant du 24 avril 2018 au contrat de travail n'avait pas pour objet les ristournes. Quant aux faits que le Tribunal aurait mal constatés en lien avec le fonctionnement des "compte commissions" et "compte caution" de l'intimé, ils sont sans incidence sur l'issue du litige. Partant, c'est avec raison que le Tribunal a rejeté la prétention de l'appelant au titre de ristournes sur commissions.</w:t>
      </w:r>
    </w:p>
    <w:p>
      <w:r>
        <w:rPr>
          <w:b/>
        </w:rPr>
        <w:t>E. 6</w:t>
      </w:r>
    </w:p>
    <w:p>
      <w:r>
        <w:t>L'appelant ayant été débouté de l'ensemble de ses prétentions, sa conclusion tendant à la mainlevée de l'opposition formée au commandement de payer notifiée à l'intimé a été rejetée à juste titre par le Tribunal et il en sera de même devant la Cour.</w:t>
      </w:r>
    </w:p>
    <w:p>
      <w:r>
        <w:rPr>
          <w:b/>
        </w:rPr>
        <w:t>E. 7</w:t>
      </w:r>
    </w:p>
    <w:p>
      <w:r>
        <w:t>L'appelant reproche en dernier lieu au Tribunal d'avoir fait droit aux deux prétentions reconventionnelles de l'intimé. La première tendait au paiement de 21'936 fr. 50 bruts au titre des soldes de salaires d'août et septembre 2018 (14'656 fr. 50) et des retenues sur salaire opérées de mars à septembre 2018 en lien avec la gestion administrative des dossiers (7'280 fr.). La seconde tendait au</w:t>
      </w:r>
    </w:p>
    <w:p>
      <w:r>
        <w:t>- 27/28 -</w:t>
      </w:r>
    </w:p>
    <w:p>
      <w:r>
        <w:t>C/10543/2019-4 remboursement de 34'434 fr. nets au titre de cautions versées (15'000 fr.), retenues sur salaire opérées à ce titre d'avril 2017 à septembre 2018 (12'000 fr.) et forfait mensuel pour les frais pour août et septembre 2018 (7'434 fr.).</w:t>
      </w:r>
    </w:p>
    <w:p>
      <w:r>
        <w:t>Pour ce qui est de la première prétention, les premiers juges ont retenu qu'ayant été débouté de ses prétentions, l'appelant ne détenait aucune créance à l'encontre de l'intimé, de sorte qu'aucune compensation n'était possible et les salaires d'août et septembre 2018 (14'656 fr. 50) avaient été retenus à tort, ce qui n'était pas le cas des retenues à hauteur de 7'280 fr., lesquelles étaient intervenues à juste titre. S'agissant de la seconde prétention, le Tribunal a jugé que l'intimé avait versé à l'appelant 27'000 fr. pour garantir d'éventuelles créances de celui-ci à son encontre. Or, de telles créances n'existaient pas. L'appelant fonde sa critique exclusivement sur le fait que ses prétentions auraient été rejetées à tort par le Tribunal, de sorte qu'il détenait des créances à l'encontre de l'intimé. Dans la mesure où la décision du Tribunal quant au bien-fondé des prétentions de l'appelant est confirmée devant la Cour (cf. supra, consid. 3 à 5), le grief tombe à faux. Au vu de l'ensemble de ce qui précède, le jugement attaqué sera entièrement confirmé.</w:t>
      </w:r>
    </w:p>
    <w:p>
      <w:r>
        <w:rPr>
          <w:b/>
        </w:rPr>
        <w:t>E. 8</w:t>
      </w:r>
    </w:p>
    <w:p>
      <w:r>
        <w:t>Les frais judiciaires d'appel, arrêtés à 2'000 fr. (art. 19 al. 3 let. c LaCC; art. 71 RTFMC), seront mis à la charge de l'appelant qui succombe (art. 106 al. 1 CPC) et compensés avec l'avance fournie par celui-ci, laquelle demeure acquise à l'Etat de Genève (art. 111 al. 1 CPC). Il n'est pas alloué de dépens d'appel dans les causes soumises à la juridiction des prud'hommes (art. 22 al. 2 LaCC). * * * * *</w:t>
      </w:r>
    </w:p>
    <w:p>
      <w:r>
        <w:t>- 28/28 -</w:t>
      </w:r>
    </w:p>
    <w:p>
      <w:r>
        <w:t>C/10543/2019-4 PAR CES MOTIFS, La Chambre des prud'hommes, groupe 4 :</w:t>
      </w:r>
    </w:p>
    <w:p>
      <w:r>
        <w:t>A la forme : Déclare recevable l'appel formé le 10 septembre 2021 par A______ contre le jugement JTPH/277/2021 rendu le 14 juillet 2021 dans la cause C/10543/2019 - 4. Au fond : Confirme ce jugement. Déboute les parties de toute autre conclusion. Sur les frais : Arrête les frais judiciaires d'appel à 2'000 fr., les met à la charge de A______ et les compense avec l'avance versée, qui demeure acquise à l'Etat de Genève. Dit qu'il n'est pas alloué de dépens d'appel. Siégeant : Monsieur Jean REYMOND, président; Madame Nadia FAVRE, juge employeur; Madame Ana ROUX, juge salarié; Madame Chloé RAMAT, greffière.</w:t>
      </w:r>
    </w:p>
    <w:p>
      <w:r>
        <w:t>Le président : Jean REYMOND</w:t>
      </w:r>
    </w:p>
    <w:p>
      <w:r>
        <w:t>La greffière : Chloé RAMAT</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